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3088" w14:textId="1DA3DEC7" w:rsidR="001D5E7D" w:rsidRDefault="001D5E7D" w:rsidP="00C6546C">
      <w:pPr>
        <w:spacing w:after="0" w:line="240" w:lineRule="auto"/>
        <w:jc w:val="center"/>
        <w:outlineLvl w:val="0"/>
        <w:rPr>
          <w:rFonts w:ascii="Arial" w:eastAsia="Times New Roman" w:hAnsi="Arial" w:cs="Arial"/>
          <w:color w:val="2A2A2A"/>
          <w:kern w:val="36"/>
          <w:sz w:val="28"/>
          <w:szCs w:val="48"/>
          <w:lang w:eastAsia="es-ES"/>
        </w:rPr>
      </w:pPr>
      <w:r w:rsidRPr="001D5E7D">
        <w:rPr>
          <w:rFonts w:ascii="Arial" w:eastAsia="Times New Roman" w:hAnsi="Arial" w:cs="Arial"/>
          <w:color w:val="2A2A2A"/>
          <w:kern w:val="36"/>
          <w:sz w:val="28"/>
          <w:szCs w:val="48"/>
          <w:lang w:eastAsia="es-ES"/>
        </w:rPr>
        <w:t>I</w:t>
      </w:r>
      <w:r w:rsidR="00C6546C">
        <w:rPr>
          <w:rFonts w:ascii="Arial" w:eastAsia="Times New Roman" w:hAnsi="Arial" w:cs="Arial"/>
          <w:color w:val="2A2A2A"/>
          <w:kern w:val="36"/>
          <w:sz w:val="28"/>
          <w:szCs w:val="48"/>
          <w:lang w:eastAsia="es-ES"/>
        </w:rPr>
        <w:t>NFECCION POR HELICOBACTER PYLORI</w:t>
      </w:r>
    </w:p>
    <w:p w14:paraId="2E9BD734" w14:textId="77777777" w:rsidR="00C6546C" w:rsidRPr="001D5E7D" w:rsidRDefault="00C6546C" w:rsidP="00C6546C">
      <w:pPr>
        <w:spacing w:after="0" w:line="240" w:lineRule="auto"/>
        <w:jc w:val="center"/>
        <w:outlineLvl w:val="0"/>
        <w:rPr>
          <w:rFonts w:ascii="Arial" w:eastAsia="Times New Roman" w:hAnsi="Arial" w:cs="Arial"/>
          <w:color w:val="2A2A2A"/>
          <w:kern w:val="36"/>
          <w:sz w:val="28"/>
          <w:szCs w:val="48"/>
          <w:lang w:eastAsia="es-ES"/>
        </w:rPr>
      </w:pPr>
    </w:p>
    <w:p w14:paraId="218FD67B" w14:textId="77777777" w:rsidR="001D5E7D" w:rsidRPr="001D5E7D" w:rsidRDefault="001D5E7D" w:rsidP="001D5E7D">
      <w:pPr>
        <w:spacing w:after="0" w:line="240" w:lineRule="auto"/>
        <w:outlineLvl w:val="0"/>
        <w:rPr>
          <w:rFonts w:ascii="Arial" w:eastAsia="Times New Roman" w:hAnsi="Arial" w:cs="Arial"/>
          <w:color w:val="2A2A2A"/>
          <w:kern w:val="36"/>
          <w:sz w:val="28"/>
          <w:szCs w:val="48"/>
          <w:lang w:eastAsia="es-ES"/>
        </w:rPr>
      </w:pPr>
    </w:p>
    <w:p w14:paraId="036E8F59" w14:textId="77777777" w:rsidR="001D5E7D" w:rsidRPr="001D5E7D" w:rsidRDefault="001D5E7D" w:rsidP="001D5E7D">
      <w:pPr>
        <w:spacing w:after="0" w:line="240" w:lineRule="auto"/>
        <w:rPr>
          <w:rFonts w:ascii="Arial" w:eastAsia="Times New Roman" w:hAnsi="Arial" w:cs="Arial"/>
          <w:color w:val="2A2A2A"/>
          <w:sz w:val="24"/>
          <w:szCs w:val="24"/>
          <w:lang w:eastAsia="es-ES"/>
        </w:rPr>
      </w:pPr>
    </w:p>
    <w:p w14:paraId="437E0A85" w14:textId="77777777" w:rsidR="001D5E7D" w:rsidRPr="001D5E7D" w:rsidRDefault="001D5E7D" w:rsidP="001D5E7D">
      <w:pPr>
        <w:spacing w:before="167" w:after="167" w:line="240" w:lineRule="auto"/>
        <w:outlineLvl w:val="2"/>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Signos y síntomas</w:t>
      </w:r>
    </w:p>
    <w:p w14:paraId="55666B34"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En general, los pacientes infectados por </w:t>
      </w:r>
      <w:r w:rsidRPr="001D5E7D">
        <w:rPr>
          <w:rFonts w:ascii="Arial" w:eastAsia="Times New Roman" w:hAnsi="Arial" w:cs="Arial"/>
          <w:i/>
          <w:iCs/>
          <w:color w:val="2A2A2A"/>
          <w:sz w:val="24"/>
          <w:szCs w:val="24"/>
          <w:lang w:eastAsia="es-ES"/>
        </w:rPr>
        <w:t>H. pylori</w:t>
      </w:r>
      <w:r w:rsidRPr="001D5E7D">
        <w:rPr>
          <w:rFonts w:ascii="Arial" w:eastAsia="Times New Roman" w:hAnsi="Arial" w:cs="Arial"/>
          <w:color w:val="2A2A2A"/>
          <w:sz w:val="24"/>
          <w:szCs w:val="24"/>
          <w:lang w:eastAsia="es-ES"/>
        </w:rPr>
        <w:t> son asintomáticos y no se han descrito signos y síntomas clínicos específicos. Cuando los signos y/o síntomas están presentes, pueden incluir los siguientes:</w:t>
      </w:r>
    </w:p>
    <w:p w14:paraId="552B9064" w14:textId="77777777" w:rsidR="001D5E7D" w:rsidRPr="001D5E7D" w:rsidRDefault="001D5E7D" w:rsidP="001D5E7D">
      <w:pPr>
        <w:numPr>
          <w:ilvl w:val="0"/>
          <w:numId w:val="3"/>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Náuseas</w:t>
      </w:r>
    </w:p>
    <w:p w14:paraId="034F38C1" w14:textId="77777777" w:rsidR="001D5E7D" w:rsidRPr="001D5E7D" w:rsidRDefault="001D5E7D" w:rsidP="001D5E7D">
      <w:pPr>
        <w:numPr>
          <w:ilvl w:val="0"/>
          <w:numId w:val="3"/>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vómitos</w:t>
      </w:r>
    </w:p>
    <w:p w14:paraId="1140F139" w14:textId="77777777" w:rsidR="001D5E7D" w:rsidRPr="001D5E7D" w:rsidRDefault="001D5E7D" w:rsidP="001D5E7D">
      <w:pPr>
        <w:numPr>
          <w:ilvl w:val="0"/>
          <w:numId w:val="3"/>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Dolor abdominal</w:t>
      </w:r>
    </w:p>
    <w:p w14:paraId="0372D887" w14:textId="77777777" w:rsidR="001D5E7D" w:rsidRPr="001D5E7D" w:rsidRDefault="001D5E7D" w:rsidP="001D5E7D">
      <w:pPr>
        <w:numPr>
          <w:ilvl w:val="0"/>
          <w:numId w:val="3"/>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Acidez</w:t>
      </w:r>
    </w:p>
    <w:p w14:paraId="67E95BBA" w14:textId="77777777" w:rsidR="001D5E7D" w:rsidRPr="001D5E7D" w:rsidRDefault="001D5E7D" w:rsidP="001D5E7D">
      <w:pPr>
        <w:numPr>
          <w:ilvl w:val="0"/>
          <w:numId w:val="3"/>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Diarrea</w:t>
      </w:r>
    </w:p>
    <w:p w14:paraId="7E70E09C" w14:textId="77777777" w:rsidR="001D5E7D" w:rsidRPr="001D5E7D" w:rsidRDefault="001D5E7D" w:rsidP="001D5E7D">
      <w:pPr>
        <w:numPr>
          <w:ilvl w:val="0"/>
          <w:numId w:val="3"/>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Hambre por la mañana</w:t>
      </w:r>
    </w:p>
    <w:p w14:paraId="4B65AC0B" w14:textId="77777777" w:rsidR="001D5E7D" w:rsidRPr="001D5E7D" w:rsidRDefault="001D5E7D" w:rsidP="001D5E7D">
      <w:pPr>
        <w:numPr>
          <w:ilvl w:val="0"/>
          <w:numId w:val="3"/>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Halitosis (mal aliento)</w:t>
      </w:r>
    </w:p>
    <w:p w14:paraId="16860714"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w:t>
      </w:r>
    </w:p>
    <w:p w14:paraId="2ECA3F04" w14:textId="77777777" w:rsidR="001D5E7D" w:rsidRPr="001D5E7D" w:rsidRDefault="001D5E7D" w:rsidP="001D5E7D">
      <w:pPr>
        <w:spacing w:before="167" w:after="167" w:line="240" w:lineRule="auto"/>
        <w:outlineLvl w:val="2"/>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Diagnóstico</w:t>
      </w:r>
    </w:p>
    <w:p w14:paraId="1FE05180"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i/>
          <w:iCs/>
          <w:color w:val="2A2A2A"/>
          <w:sz w:val="24"/>
          <w:szCs w:val="24"/>
          <w:lang w:eastAsia="es-ES"/>
        </w:rPr>
        <w:t>Pruebas</w:t>
      </w:r>
    </w:p>
    <w:p w14:paraId="7BA35531"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En pacientes con sospecha de infección </w:t>
      </w:r>
      <w:r w:rsidRPr="001D5E7D">
        <w:rPr>
          <w:rFonts w:ascii="Arial" w:eastAsia="Times New Roman" w:hAnsi="Arial" w:cs="Arial"/>
          <w:i/>
          <w:iCs/>
          <w:color w:val="2A2A2A"/>
          <w:sz w:val="24"/>
          <w:szCs w:val="24"/>
          <w:lang w:eastAsia="es-ES"/>
        </w:rPr>
        <w:t xml:space="preserve">por H. </w:t>
      </w:r>
      <w:proofErr w:type="gramStart"/>
      <w:r w:rsidRPr="001D5E7D">
        <w:rPr>
          <w:rFonts w:ascii="Arial" w:eastAsia="Times New Roman" w:hAnsi="Arial" w:cs="Arial"/>
          <w:i/>
          <w:iCs/>
          <w:color w:val="2A2A2A"/>
          <w:sz w:val="24"/>
          <w:szCs w:val="24"/>
          <w:lang w:eastAsia="es-ES"/>
        </w:rPr>
        <w:t>pylori</w:t>
      </w:r>
      <w:r w:rsidRPr="001D5E7D">
        <w:rPr>
          <w:rFonts w:ascii="Arial" w:eastAsia="Times New Roman" w:hAnsi="Arial" w:cs="Arial"/>
          <w:color w:val="2A2A2A"/>
          <w:sz w:val="24"/>
          <w:szCs w:val="24"/>
          <w:lang w:eastAsia="es-ES"/>
        </w:rPr>
        <w:t> ,</w:t>
      </w:r>
      <w:proofErr w:type="gramEnd"/>
      <w:r w:rsidRPr="001D5E7D">
        <w:rPr>
          <w:rFonts w:ascii="Arial" w:eastAsia="Times New Roman" w:hAnsi="Arial" w:cs="Arial"/>
          <w:color w:val="2A2A2A"/>
          <w:sz w:val="24"/>
          <w:szCs w:val="24"/>
          <w:lang w:eastAsia="es-ES"/>
        </w:rPr>
        <w:t xml:space="preserve"> los siguientes estudios de laboratorio pueden ayudar en el diagnóstico:</w:t>
      </w:r>
    </w:p>
    <w:p w14:paraId="440833C2" w14:textId="77777777" w:rsidR="001D5E7D" w:rsidRPr="001D5E7D" w:rsidRDefault="001D5E7D" w:rsidP="001D5E7D">
      <w:pPr>
        <w:numPr>
          <w:ilvl w:val="0"/>
          <w:numId w:val="4"/>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Prueba de antígeno fecal de </w:t>
      </w:r>
      <w:r w:rsidRPr="001D5E7D">
        <w:rPr>
          <w:rFonts w:ascii="Arial" w:eastAsia="Times New Roman" w:hAnsi="Arial" w:cs="Arial"/>
          <w:i/>
          <w:iCs/>
          <w:color w:val="2A2A2A"/>
          <w:sz w:val="24"/>
          <w:szCs w:val="24"/>
          <w:lang w:eastAsia="es-ES"/>
        </w:rPr>
        <w:t>H pylori : muy específica (98 %) y sensible (94 %); </w:t>
      </w:r>
      <w:r w:rsidRPr="001D5E7D">
        <w:rPr>
          <w:rFonts w:ascii="Arial" w:eastAsia="Times New Roman" w:hAnsi="Arial" w:cs="Arial"/>
          <w:color w:val="2A2A2A"/>
          <w:sz w:val="24"/>
          <w:szCs w:val="24"/>
          <w:lang w:eastAsia="es-ES"/>
        </w:rPr>
        <w:t>resultados positivos obtenidos en las etapas iniciales de la infección; se puede utilizar para detectar la erradicación posterior al tratamiento</w:t>
      </w:r>
    </w:p>
    <w:p w14:paraId="09B6762B" w14:textId="77777777" w:rsidR="001D5E7D" w:rsidRPr="001D5E7D" w:rsidRDefault="001D5E7D" w:rsidP="001D5E7D">
      <w:pPr>
        <w:numPr>
          <w:ilvl w:val="0"/>
          <w:numId w:val="4"/>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Prueba de aliento con urea de carbono 13: la concentración del carbono marcado es alta en el aliento solo cuando la ureasa está presente en el estómago, una reacción posible solo con la infección </w:t>
      </w:r>
      <w:r w:rsidRPr="001D5E7D">
        <w:rPr>
          <w:rFonts w:ascii="Arial" w:eastAsia="Times New Roman" w:hAnsi="Arial" w:cs="Arial"/>
          <w:i/>
          <w:iCs/>
          <w:color w:val="2A2A2A"/>
          <w:sz w:val="24"/>
          <w:szCs w:val="24"/>
          <w:lang w:eastAsia="es-ES"/>
        </w:rPr>
        <w:t>por H. pylori</w:t>
      </w:r>
    </w:p>
    <w:p w14:paraId="37DFF72F" w14:textId="77777777" w:rsidR="001D5E7D" w:rsidRPr="001D5E7D" w:rsidRDefault="001D5E7D" w:rsidP="001D5E7D">
      <w:pPr>
        <w:numPr>
          <w:ilvl w:val="0"/>
          <w:numId w:val="4"/>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i/>
          <w:iCs/>
          <w:color w:val="2A2A2A"/>
          <w:sz w:val="24"/>
          <w:szCs w:val="24"/>
          <w:lang w:eastAsia="es-ES"/>
        </w:rPr>
        <w:t>Serología para H. pylori</w:t>
      </w:r>
      <w:r w:rsidRPr="001D5E7D">
        <w:rPr>
          <w:rFonts w:ascii="Arial" w:eastAsia="Times New Roman" w:hAnsi="Arial" w:cs="Arial"/>
          <w:color w:val="2A2A2A"/>
          <w:sz w:val="24"/>
          <w:szCs w:val="24"/>
          <w:lang w:eastAsia="es-ES"/>
        </w:rPr>
        <w:t> : Alta (&gt;90%) especificidad y sensibilidad; útil para detectar un paciente recién infectado, pero no es una buena prueba para el seguimiento de los pacientes tratados</w:t>
      </w:r>
    </w:p>
    <w:p w14:paraId="261A9C52" w14:textId="77777777" w:rsidR="001D5E7D" w:rsidRPr="001D5E7D" w:rsidRDefault="001D5E7D" w:rsidP="001D5E7D">
      <w:pPr>
        <w:numPr>
          <w:ilvl w:val="0"/>
          <w:numId w:val="4"/>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Antibiograma: Útil en áreas geográficas con alta tasa de resistencia al metronidazol y claritromicina </w:t>
      </w:r>
      <w:r w:rsidRPr="001D5E7D">
        <w:rPr>
          <w:rFonts w:ascii="Arial" w:eastAsia="Times New Roman" w:hAnsi="Arial" w:cs="Arial"/>
          <w:color w:val="2A2A2A"/>
          <w:sz w:val="24"/>
          <w:szCs w:val="24"/>
          <w:vertAlign w:val="superscript"/>
          <w:lang w:eastAsia="es-ES"/>
        </w:rPr>
        <w:t>[ </w:t>
      </w:r>
      <w:hyperlink r:id="rId5" w:history="1">
        <w:r w:rsidRPr="001D5E7D">
          <w:rPr>
            <w:rFonts w:ascii="Arial" w:eastAsia="Times New Roman" w:hAnsi="Arial" w:cs="Arial"/>
            <w:color w:val="007CB0"/>
            <w:sz w:val="24"/>
            <w:szCs w:val="24"/>
            <w:u w:val="single"/>
            <w:vertAlign w:val="superscript"/>
            <w:lang w:eastAsia="es-ES"/>
          </w:rPr>
          <w:t>3</w:t>
        </w:r>
      </w:hyperlink>
      <w:r w:rsidRPr="001D5E7D">
        <w:rPr>
          <w:rFonts w:ascii="Arial" w:eastAsia="Times New Roman" w:hAnsi="Arial" w:cs="Arial"/>
          <w:color w:val="2A2A2A"/>
          <w:sz w:val="24"/>
          <w:szCs w:val="24"/>
          <w:vertAlign w:val="superscript"/>
          <w:lang w:eastAsia="es-ES"/>
        </w:rPr>
        <w:t> , </w:t>
      </w:r>
      <w:hyperlink r:id="rId6" w:history="1">
        <w:r w:rsidRPr="001D5E7D">
          <w:rPr>
            <w:rFonts w:ascii="Arial" w:eastAsia="Times New Roman" w:hAnsi="Arial" w:cs="Arial"/>
            <w:color w:val="007CB0"/>
            <w:sz w:val="24"/>
            <w:szCs w:val="24"/>
            <w:u w:val="single"/>
            <w:vertAlign w:val="superscript"/>
            <w:lang w:eastAsia="es-ES"/>
          </w:rPr>
          <w:t>4</w:t>
        </w:r>
      </w:hyperlink>
      <w:r w:rsidRPr="001D5E7D">
        <w:rPr>
          <w:rFonts w:ascii="Arial" w:eastAsia="Times New Roman" w:hAnsi="Arial" w:cs="Arial"/>
          <w:color w:val="2A2A2A"/>
          <w:sz w:val="24"/>
          <w:szCs w:val="24"/>
          <w:vertAlign w:val="superscript"/>
          <w:lang w:eastAsia="es-ES"/>
        </w:rPr>
        <w:t> ]</w:t>
      </w:r>
      <w:r w:rsidRPr="001D5E7D">
        <w:rPr>
          <w:rFonts w:ascii="Arial" w:eastAsia="Times New Roman" w:hAnsi="Arial" w:cs="Arial"/>
          <w:color w:val="2A2A2A"/>
          <w:sz w:val="24"/>
          <w:szCs w:val="24"/>
          <w:lang w:eastAsia="es-ES"/>
        </w:rPr>
        <w:t> ; estos antibióticos no deben recomendarse como medicamentos de primera línea en tales áreas</w:t>
      </w:r>
    </w:p>
    <w:p w14:paraId="65EBABE3" w14:textId="77777777" w:rsidR="001D5E7D" w:rsidRDefault="001D5E7D" w:rsidP="001D5E7D">
      <w:pPr>
        <w:spacing w:after="0" w:line="240" w:lineRule="auto"/>
        <w:rPr>
          <w:rFonts w:ascii="Arial" w:eastAsia="Times New Roman" w:hAnsi="Arial" w:cs="Arial"/>
          <w:i/>
          <w:iCs/>
          <w:color w:val="2A2A2A"/>
          <w:sz w:val="24"/>
          <w:szCs w:val="24"/>
          <w:lang w:eastAsia="es-ES"/>
        </w:rPr>
      </w:pPr>
    </w:p>
    <w:p w14:paraId="1D2E02DA" w14:textId="77777777" w:rsidR="001D5E7D" w:rsidRDefault="001D5E7D" w:rsidP="001D5E7D">
      <w:pPr>
        <w:spacing w:after="0" w:line="240" w:lineRule="auto"/>
        <w:rPr>
          <w:rFonts w:ascii="Arial" w:eastAsia="Times New Roman" w:hAnsi="Arial" w:cs="Arial"/>
          <w:i/>
          <w:iCs/>
          <w:color w:val="2A2A2A"/>
          <w:sz w:val="24"/>
          <w:szCs w:val="24"/>
          <w:lang w:eastAsia="es-ES"/>
        </w:rPr>
      </w:pPr>
    </w:p>
    <w:p w14:paraId="09302171" w14:textId="77777777" w:rsidR="001D5E7D" w:rsidRDefault="001D5E7D" w:rsidP="001D5E7D">
      <w:pPr>
        <w:spacing w:after="0" w:line="240" w:lineRule="auto"/>
        <w:rPr>
          <w:rFonts w:ascii="Arial" w:eastAsia="Times New Roman" w:hAnsi="Arial" w:cs="Arial"/>
          <w:i/>
          <w:iCs/>
          <w:color w:val="2A2A2A"/>
          <w:sz w:val="24"/>
          <w:szCs w:val="24"/>
          <w:lang w:eastAsia="es-ES"/>
        </w:rPr>
      </w:pPr>
    </w:p>
    <w:p w14:paraId="167FA107" w14:textId="77777777" w:rsidR="001D5E7D" w:rsidRDefault="001D5E7D" w:rsidP="001D5E7D">
      <w:pPr>
        <w:spacing w:after="0" w:line="240" w:lineRule="auto"/>
        <w:rPr>
          <w:rFonts w:ascii="Arial" w:eastAsia="Times New Roman" w:hAnsi="Arial" w:cs="Arial"/>
          <w:i/>
          <w:iCs/>
          <w:color w:val="2A2A2A"/>
          <w:sz w:val="24"/>
          <w:szCs w:val="24"/>
          <w:lang w:eastAsia="es-ES"/>
        </w:rPr>
      </w:pPr>
      <w:r w:rsidRPr="001D5E7D">
        <w:rPr>
          <w:rFonts w:ascii="Arial" w:eastAsia="Times New Roman" w:hAnsi="Arial" w:cs="Arial"/>
          <w:i/>
          <w:iCs/>
          <w:color w:val="2A2A2A"/>
          <w:sz w:val="24"/>
          <w:szCs w:val="24"/>
          <w:lang w:eastAsia="es-ES"/>
        </w:rPr>
        <w:t>Puesta en escena</w:t>
      </w:r>
    </w:p>
    <w:p w14:paraId="39514D21" w14:textId="77777777" w:rsidR="00D62A1E" w:rsidRPr="001D5E7D" w:rsidRDefault="00D62A1E" w:rsidP="001D5E7D">
      <w:pPr>
        <w:spacing w:after="0" w:line="240" w:lineRule="auto"/>
        <w:rPr>
          <w:rFonts w:ascii="Arial" w:eastAsia="Times New Roman" w:hAnsi="Arial" w:cs="Arial"/>
          <w:color w:val="2A2A2A"/>
          <w:sz w:val="24"/>
          <w:szCs w:val="24"/>
          <w:lang w:eastAsia="es-ES"/>
        </w:rPr>
      </w:pPr>
    </w:p>
    <w:p w14:paraId="7F08BEAE"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No existe un sistema de estadificación para la infección </w:t>
      </w:r>
      <w:r w:rsidRPr="001D5E7D">
        <w:rPr>
          <w:rFonts w:ascii="Arial" w:eastAsia="Times New Roman" w:hAnsi="Arial" w:cs="Arial"/>
          <w:i/>
          <w:iCs/>
          <w:color w:val="2A2A2A"/>
          <w:sz w:val="24"/>
          <w:szCs w:val="24"/>
          <w:lang w:eastAsia="es-ES"/>
        </w:rPr>
        <w:t xml:space="preserve">por H. </w:t>
      </w:r>
      <w:proofErr w:type="gramStart"/>
      <w:r w:rsidRPr="001D5E7D">
        <w:rPr>
          <w:rFonts w:ascii="Arial" w:eastAsia="Times New Roman" w:hAnsi="Arial" w:cs="Arial"/>
          <w:i/>
          <w:iCs/>
          <w:color w:val="2A2A2A"/>
          <w:sz w:val="24"/>
          <w:szCs w:val="24"/>
          <w:lang w:eastAsia="es-ES"/>
        </w:rPr>
        <w:t>pylori</w:t>
      </w:r>
      <w:r w:rsidRPr="001D5E7D">
        <w:rPr>
          <w:rFonts w:ascii="Arial" w:eastAsia="Times New Roman" w:hAnsi="Arial" w:cs="Arial"/>
          <w:color w:val="2A2A2A"/>
          <w:sz w:val="24"/>
          <w:szCs w:val="24"/>
          <w:lang w:eastAsia="es-ES"/>
        </w:rPr>
        <w:t> ,</w:t>
      </w:r>
      <w:proofErr w:type="gramEnd"/>
      <w:r w:rsidRPr="001D5E7D">
        <w:rPr>
          <w:rFonts w:ascii="Arial" w:eastAsia="Times New Roman" w:hAnsi="Arial" w:cs="Arial"/>
          <w:color w:val="2A2A2A"/>
          <w:sz w:val="24"/>
          <w:szCs w:val="24"/>
          <w:lang w:eastAsia="es-ES"/>
        </w:rPr>
        <w:t xml:space="preserve"> pero los siguientes pasos en el proceso de la enfermedad están bien descritos:</w:t>
      </w:r>
    </w:p>
    <w:p w14:paraId="0D88154C" w14:textId="77777777" w:rsidR="001D5E7D" w:rsidRPr="001D5E7D" w:rsidRDefault="001D5E7D" w:rsidP="001D5E7D">
      <w:pPr>
        <w:numPr>
          <w:ilvl w:val="0"/>
          <w:numId w:val="5"/>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Gastritis crónica</w:t>
      </w:r>
    </w:p>
    <w:p w14:paraId="38A5B04B" w14:textId="77777777" w:rsidR="001D5E7D" w:rsidRPr="001D5E7D" w:rsidRDefault="001D5E7D" w:rsidP="001D5E7D">
      <w:pPr>
        <w:numPr>
          <w:ilvl w:val="0"/>
          <w:numId w:val="5"/>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Gastritis atrófica</w:t>
      </w:r>
    </w:p>
    <w:p w14:paraId="4769031D" w14:textId="77777777" w:rsidR="001D5E7D" w:rsidRPr="001D5E7D" w:rsidRDefault="001D5E7D" w:rsidP="001D5E7D">
      <w:pPr>
        <w:numPr>
          <w:ilvl w:val="0"/>
          <w:numId w:val="5"/>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Metaplasia intestinal: Puede evolucionar a displasia</w:t>
      </w:r>
    </w:p>
    <w:p w14:paraId="22A94F85" w14:textId="77777777" w:rsidR="001D5E7D" w:rsidRPr="001D5E7D" w:rsidRDefault="001D5E7D" w:rsidP="001D5E7D">
      <w:pPr>
        <w:numPr>
          <w:ilvl w:val="0"/>
          <w:numId w:val="5"/>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Adenocarcinoma gástrico: considere la ecografía y la esofagogastroduodenoscopia (EGD) en pacientes con MALTomas gástricos (linfomas del tejido linfático asociado a la mucosa) para una estadificación más precisa de la enfermedad</w:t>
      </w:r>
    </w:p>
    <w:p w14:paraId="545C6EF1"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i/>
          <w:iCs/>
          <w:color w:val="2A2A2A"/>
          <w:sz w:val="24"/>
          <w:szCs w:val="24"/>
          <w:lang w:eastAsia="es-ES"/>
        </w:rPr>
        <w:lastRenderedPageBreak/>
        <w:t>Estudios de imagen</w:t>
      </w:r>
    </w:p>
    <w:p w14:paraId="7918F448"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Los estudios de imagen no son útiles en el diagnóstico de la infección por </w:t>
      </w:r>
      <w:r w:rsidRPr="001D5E7D">
        <w:rPr>
          <w:rFonts w:ascii="Arial" w:eastAsia="Times New Roman" w:hAnsi="Arial" w:cs="Arial"/>
          <w:i/>
          <w:iCs/>
          <w:color w:val="2A2A2A"/>
          <w:sz w:val="24"/>
          <w:szCs w:val="24"/>
          <w:lang w:eastAsia="es-ES"/>
        </w:rPr>
        <w:t xml:space="preserve">H. </w:t>
      </w:r>
      <w:proofErr w:type="gramStart"/>
      <w:r w:rsidRPr="001D5E7D">
        <w:rPr>
          <w:rFonts w:ascii="Arial" w:eastAsia="Times New Roman" w:hAnsi="Arial" w:cs="Arial"/>
          <w:i/>
          <w:iCs/>
          <w:color w:val="2A2A2A"/>
          <w:sz w:val="24"/>
          <w:szCs w:val="24"/>
          <w:lang w:eastAsia="es-ES"/>
        </w:rPr>
        <w:t>pylori</w:t>
      </w:r>
      <w:r w:rsidRPr="001D5E7D">
        <w:rPr>
          <w:rFonts w:ascii="Arial" w:eastAsia="Times New Roman" w:hAnsi="Arial" w:cs="Arial"/>
          <w:color w:val="2A2A2A"/>
          <w:sz w:val="24"/>
          <w:szCs w:val="24"/>
          <w:lang w:eastAsia="es-ES"/>
        </w:rPr>
        <w:t> .</w:t>
      </w:r>
      <w:proofErr w:type="gramEnd"/>
      <w:r w:rsidRPr="001D5E7D">
        <w:rPr>
          <w:rFonts w:ascii="Arial" w:eastAsia="Times New Roman" w:hAnsi="Arial" w:cs="Arial"/>
          <w:color w:val="2A2A2A"/>
          <w:sz w:val="24"/>
          <w:szCs w:val="24"/>
          <w:lang w:eastAsia="es-ES"/>
        </w:rPr>
        <w:t> Sin embargo, pueden ser útiles en pacientes con enfermedad complicada (p. ej., enfermedad ulcerosa, cáncer gástrico, MALToma).</w:t>
      </w:r>
    </w:p>
    <w:p w14:paraId="4D605B1A"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i/>
          <w:iCs/>
          <w:color w:val="2A2A2A"/>
          <w:sz w:val="24"/>
          <w:szCs w:val="24"/>
          <w:lang w:eastAsia="es-ES"/>
        </w:rPr>
        <w:t>Procedimientos</w:t>
      </w:r>
    </w:p>
    <w:p w14:paraId="0493D27C" w14:textId="77777777" w:rsidR="001D5E7D" w:rsidRPr="001D5E7D" w:rsidRDefault="001D5E7D" w:rsidP="001D5E7D">
      <w:pPr>
        <w:numPr>
          <w:ilvl w:val="0"/>
          <w:numId w:val="6"/>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EGD: a menudo es necesario en pacientes con síntomas de úlcera péptica para ver el estado de la mucosa del estómago y el duodeno.</w:t>
      </w:r>
    </w:p>
    <w:p w14:paraId="35FE90F3" w14:textId="77777777" w:rsidR="001D5E7D" w:rsidRPr="001D5E7D" w:rsidRDefault="001D5E7D" w:rsidP="001D5E7D">
      <w:pPr>
        <w:numPr>
          <w:ilvl w:val="0"/>
          <w:numId w:val="6"/>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Biopsia más EGD: para obtener muestras de biopsia del antro y el cuerpo gástricos y para realizar un examen histológico de las muestras obtenidas</w:t>
      </w:r>
    </w:p>
    <w:p w14:paraId="020B9312" w14:textId="77777777" w:rsidR="001D5E7D" w:rsidRPr="001D5E7D" w:rsidRDefault="001D5E7D" w:rsidP="001D5E7D">
      <w:pPr>
        <w:numPr>
          <w:ilvl w:val="0"/>
          <w:numId w:val="6"/>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Ecografía más EGD: Obligatorio en pacientes con resultados de biopsia positivos para MALTomas gástricos para permitir una estadificación más precisa de la enfermedad</w:t>
      </w:r>
    </w:p>
    <w:p w14:paraId="1115D662" w14:textId="77777777" w:rsidR="001D5E7D" w:rsidRPr="001D5E7D" w:rsidRDefault="001D5E7D" w:rsidP="001D5E7D">
      <w:pPr>
        <w:spacing w:before="167" w:after="167" w:line="240" w:lineRule="auto"/>
        <w:outlineLvl w:val="2"/>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MANEJO</w:t>
      </w:r>
    </w:p>
    <w:p w14:paraId="0DCE33F7"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Solo trate a los pacientes con un resultado positivo de la prueba para la infección </w:t>
      </w:r>
      <w:r w:rsidRPr="001D5E7D">
        <w:rPr>
          <w:rFonts w:ascii="Arial" w:eastAsia="Times New Roman" w:hAnsi="Arial" w:cs="Arial"/>
          <w:i/>
          <w:iCs/>
          <w:color w:val="2A2A2A"/>
          <w:sz w:val="24"/>
          <w:szCs w:val="24"/>
          <w:lang w:eastAsia="es-ES"/>
        </w:rPr>
        <w:t xml:space="preserve">por H. </w:t>
      </w:r>
      <w:proofErr w:type="gramStart"/>
      <w:r w:rsidRPr="001D5E7D">
        <w:rPr>
          <w:rFonts w:ascii="Arial" w:eastAsia="Times New Roman" w:hAnsi="Arial" w:cs="Arial"/>
          <w:i/>
          <w:iCs/>
          <w:color w:val="2A2A2A"/>
          <w:sz w:val="24"/>
          <w:szCs w:val="24"/>
          <w:lang w:eastAsia="es-ES"/>
        </w:rPr>
        <w:t>pylori</w:t>
      </w:r>
      <w:r w:rsidRPr="001D5E7D">
        <w:rPr>
          <w:rFonts w:ascii="Arial" w:eastAsia="Times New Roman" w:hAnsi="Arial" w:cs="Arial"/>
          <w:color w:val="2A2A2A"/>
          <w:sz w:val="24"/>
          <w:szCs w:val="24"/>
          <w:lang w:eastAsia="es-ES"/>
        </w:rPr>
        <w:t> .</w:t>
      </w:r>
      <w:proofErr w:type="gramEnd"/>
      <w:r w:rsidRPr="001D5E7D">
        <w:rPr>
          <w:rFonts w:ascii="Arial" w:eastAsia="Times New Roman" w:hAnsi="Arial" w:cs="Arial"/>
          <w:color w:val="2A2A2A"/>
          <w:sz w:val="24"/>
          <w:szCs w:val="24"/>
          <w:lang w:eastAsia="es-ES"/>
        </w:rPr>
        <w:t> Es importante considerar la posible resistencia a los antibióticos al seleccionar el régimen de tratamiento.</w:t>
      </w:r>
    </w:p>
    <w:p w14:paraId="3AAC445A"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i/>
          <w:iCs/>
          <w:color w:val="2A2A2A"/>
          <w:sz w:val="24"/>
          <w:szCs w:val="24"/>
          <w:lang w:eastAsia="es-ES"/>
        </w:rPr>
        <w:t>Farmacoterapia</w:t>
      </w:r>
    </w:p>
    <w:p w14:paraId="7DC6FE51"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Se utilizan varios regímenes de terapia triple para el tratamiento de la infección </w:t>
      </w:r>
      <w:r w:rsidRPr="001D5E7D">
        <w:rPr>
          <w:rFonts w:ascii="Arial" w:eastAsia="Times New Roman" w:hAnsi="Arial" w:cs="Arial"/>
          <w:i/>
          <w:iCs/>
          <w:color w:val="2A2A2A"/>
          <w:sz w:val="24"/>
          <w:szCs w:val="24"/>
          <w:lang w:eastAsia="es-ES"/>
        </w:rPr>
        <w:t>por H. pylori</w:t>
      </w:r>
      <w:r w:rsidRPr="001D5E7D">
        <w:rPr>
          <w:rFonts w:ascii="Arial" w:eastAsia="Times New Roman" w:hAnsi="Arial" w:cs="Arial"/>
          <w:color w:val="2A2A2A"/>
          <w:sz w:val="24"/>
          <w:szCs w:val="24"/>
          <w:lang w:eastAsia="es-ES"/>
        </w:rPr>
        <w:t> en pacientes con úlcera péptica gástrica y duodenal.</w:t>
      </w:r>
    </w:p>
    <w:p w14:paraId="56177085"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En caso de </w:t>
      </w:r>
      <w:r w:rsidRPr="001D5E7D">
        <w:rPr>
          <w:rFonts w:ascii="Arial" w:eastAsia="Times New Roman" w:hAnsi="Arial" w:cs="Arial"/>
          <w:i/>
          <w:iCs/>
          <w:color w:val="2A2A2A"/>
          <w:sz w:val="24"/>
          <w:szCs w:val="24"/>
          <w:lang w:eastAsia="es-ES"/>
        </w:rPr>
        <w:t>antecedentes</w:t>
      </w:r>
      <w:r w:rsidRPr="001D5E7D">
        <w:rPr>
          <w:rFonts w:ascii="Arial" w:eastAsia="Times New Roman" w:hAnsi="Arial" w:cs="Arial"/>
          <w:color w:val="2A2A2A"/>
          <w:sz w:val="24"/>
          <w:szCs w:val="24"/>
          <w:lang w:eastAsia="es-ES"/>
        </w:rPr>
        <w:t> de tratamiento con macrólidos o fluoroquinolonas, evite los regímenes basados ​​en claritromicina o levofloxacina, respectivamente, debido al mayor riesgo de resistencia. Considere la amoxicilina, la tetraciclina y la rifabutina como terapias posteriores en la infección refractaria por </w:t>
      </w:r>
      <w:r w:rsidRPr="001D5E7D">
        <w:rPr>
          <w:rFonts w:ascii="Arial" w:eastAsia="Times New Roman" w:hAnsi="Arial" w:cs="Arial"/>
          <w:i/>
          <w:iCs/>
          <w:color w:val="2A2A2A"/>
          <w:sz w:val="24"/>
          <w:szCs w:val="24"/>
          <w:lang w:eastAsia="es-ES"/>
        </w:rPr>
        <w:t>H. pylori</w:t>
      </w:r>
      <w:r w:rsidRPr="001D5E7D">
        <w:rPr>
          <w:rFonts w:ascii="Arial" w:eastAsia="Times New Roman" w:hAnsi="Arial" w:cs="Arial"/>
          <w:color w:val="2A2A2A"/>
          <w:sz w:val="24"/>
          <w:szCs w:val="24"/>
          <w:lang w:eastAsia="es-ES"/>
        </w:rPr>
        <w:t> , ya que la resistencia a estos antibióticos es rara.</w:t>
      </w:r>
    </w:p>
    <w:p w14:paraId="5C448B56" w14:textId="0C882F1D"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 xml:space="preserve">Si la terapia de primera línea con terapia cuádruple de bismuto es ineficaz, utilice la toma de decisiones compartida para seleccionar opciones de segunda línea entre (a) regímenes de terapia triple basados ​​en levofloxacina o rifabutina con un inhibidor de la bomba de protones dual (IBP) de dosis alta y </w:t>
      </w:r>
      <w:r w:rsidR="00C6546C" w:rsidRPr="001D5E7D">
        <w:rPr>
          <w:rFonts w:ascii="Arial" w:eastAsia="Times New Roman" w:hAnsi="Arial" w:cs="Arial"/>
          <w:color w:val="2A2A2A"/>
          <w:sz w:val="24"/>
          <w:szCs w:val="24"/>
          <w:lang w:eastAsia="es-ES"/>
        </w:rPr>
        <w:t>amoxicilina,</w:t>
      </w:r>
      <w:r w:rsidRPr="001D5E7D">
        <w:rPr>
          <w:rFonts w:ascii="Arial" w:eastAsia="Times New Roman" w:hAnsi="Arial" w:cs="Arial"/>
          <w:color w:val="2A2A2A"/>
          <w:sz w:val="24"/>
          <w:szCs w:val="24"/>
          <w:lang w:eastAsia="es-ES"/>
        </w:rPr>
        <w:t xml:space="preserve"> y (b) una terapia cuádruple alternativa que contiene bismuto.</w:t>
      </w:r>
    </w:p>
    <w:p w14:paraId="4CA24718"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Cuando utilice regímenes que contengan metronidazol, considere la dosificación adecuada de metronidazol (1.5 a 2 g diarios en dosis divididas) con la terapia concomitante con bismuto para mejorar el éxito de la terapia de erradicación.</w:t>
      </w:r>
    </w:p>
    <w:p w14:paraId="088E504B" w14:textId="77777777" w:rsidR="001D5E7D" w:rsidRDefault="001D5E7D" w:rsidP="001D5E7D">
      <w:pPr>
        <w:spacing w:after="0" w:line="240" w:lineRule="auto"/>
        <w:rPr>
          <w:rFonts w:ascii="Arial" w:eastAsia="Times New Roman" w:hAnsi="Arial" w:cs="Arial"/>
          <w:color w:val="2A2A2A"/>
          <w:sz w:val="24"/>
          <w:szCs w:val="24"/>
          <w:lang w:eastAsia="es-ES"/>
        </w:rPr>
      </w:pPr>
    </w:p>
    <w:p w14:paraId="56AB084A"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Todos los tratamientos de erradicación tienen una alta incidencia de ciertos efectos adversos (p. ej., náuseas, sabor metálico). Si se produce erupción cutánea, vómitos o diarrea, suspenda el tratamiento.</w:t>
      </w:r>
    </w:p>
    <w:p w14:paraId="7A69DDD0"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Otros medicamentos utilizados en el tratamiento de la infección por </w:t>
      </w:r>
      <w:r w:rsidRPr="001D5E7D">
        <w:rPr>
          <w:rFonts w:ascii="Arial" w:eastAsia="Times New Roman" w:hAnsi="Arial" w:cs="Arial"/>
          <w:i/>
          <w:iCs/>
          <w:color w:val="2A2A2A"/>
          <w:sz w:val="24"/>
          <w:szCs w:val="24"/>
          <w:lang w:eastAsia="es-ES"/>
        </w:rPr>
        <w:t>H. pylori</w:t>
      </w:r>
      <w:r w:rsidRPr="001D5E7D">
        <w:rPr>
          <w:rFonts w:ascii="Arial" w:eastAsia="Times New Roman" w:hAnsi="Arial" w:cs="Arial"/>
          <w:color w:val="2A2A2A"/>
          <w:sz w:val="24"/>
          <w:szCs w:val="24"/>
          <w:lang w:eastAsia="es-ES"/>
        </w:rPr>
        <w:t> son los siguientes:</w:t>
      </w:r>
    </w:p>
    <w:p w14:paraId="4A6F7A16" w14:textId="77777777" w:rsidR="001D5E7D" w:rsidRPr="001D5E7D" w:rsidRDefault="001D5E7D" w:rsidP="001D5E7D">
      <w:pPr>
        <w:numPr>
          <w:ilvl w:val="0"/>
          <w:numId w:val="7"/>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Antidiarreicos (p. ej., subsalicilato de bismuto)</w:t>
      </w:r>
    </w:p>
    <w:p w14:paraId="31AB6BD8" w14:textId="77777777" w:rsidR="001D5E7D" w:rsidRPr="001D5E7D" w:rsidRDefault="001D5E7D" w:rsidP="001D5E7D">
      <w:pPr>
        <w:numPr>
          <w:ilvl w:val="0"/>
          <w:numId w:val="7"/>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Inhibidores de la bomba de protones (p. ej., lansoprazol, omeprazol)</w:t>
      </w:r>
    </w:p>
    <w:p w14:paraId="18550CBF" w14:textId="77777777" w:rsidR="001D5E7D" w:rsidRPr="001D5E7D" w:rsidRDefault="001D5E7D" w:rsidP="001D5E7D">
      <w:pPr>
        <w:numPr>
          <w:ilvl w:val="0"/>
          <w:numId w:val="7"/>
        </w:numPr>
        <w:spacing w:after="0" w:line="240" w:lineRule="auto"/>
        <w:ind w:left="603"/>
        <w:rPr>
          <w:rFonts w:ascii="Arial" w:eastAsia="Times New Roman" w:hAnsi="Arial" w:cs="Arial"/>
          <w:color w:val="2A2A2A"/>
          <w:sz w:val="24"/>
          <w:szCs w:val="24"/>
          <w:lang w:eastAsia="es-ES"/>
        </w:rPr>
      </w:pPr>
      <w:r w:rsidRPr="001D5E7D">
        <w:rPr>
          <w:rFonts w:ascii="Arial" w:eastAsia="Times New Roman" w:hAnsi="Arial" w:cs="Arial"/>
          <w:color w:val="2A2A2A"/>
          <w:sz w:val="24"/>
          <w:szCs w:val="24"/>
          <w:lang w:eastAsia="es-ES"/>
        </w:rPr>
        <w:t>Bloqueadores de los receptores H2 (p. ej., ranitidina, famotidina)</w:t>
      </w:r>
    </w:p>
    <w:p w14:paraId="11D6B59C" w14:textId="77777777" w:rsidR="001D5E7D" w:rsidRDefault="001D5E7D" w:rsidP="001D5E7D">
      <w:pPr>
        <w:spacing w:after="0" w:line="240" w:lineRule="auto"/>
        <w:rPr>
          <w:rFonts w:ascii="Arial" w:eastAsia="Times New Roman" w:hAnsi="Arial" w:cs="Arial"/>
          <w:i/>
          <w:iCs/>
          <w:color w:val="2A2A2A"/>
          <w:sz w:val="24"/>
          <w:szCs w:val="24"/>
          <w:lang w:eastAsia="es-ES"/>
        </w:rPr>
      </w:pPr>
    </w:p>
    <w:p w14:paraId="7501DA51" w14:textId="77777777" w:rsidR="001D5E7D" w:rsidRPr="001D5E7D" w:rsidRDefault="001D5E7D" w:rsidP="001D5E7D">
      <w:pPr>
        <w:spacing w:after="0" w:line="240" w:lineRule="auto"/>
        <w:rPr>
          <w:rFonts w:ascii="Arial" w:eastAsia="Times New Roman" w:hAnsi="Arial" w:cs="Arial"/>
          <w:color w:val="2A2A2A"/>
          <w:sz w:val="24"/>
          <w:szCs w:val="24"/>
          <w:lang w:eastAsia="es-ES"/>
        </w:rPr>
      </w:pPr>
      <w:r>
        <w:rPr>
          <w:rFonts w:ascii="Arial" w:eastAsia="Times New Roman" w:hAnsi="Arial" w:cs="Arial"/>
          <w:i/>
          <w:iCs/>
          <w:color w:val="2A2A2A"/>
          <w:sz w:val="24"/>
          <w:szCs w:val="24"/>
          <w:lang w:eastAsia="es-ES"/>
        </w:rPr>
        <w:t>O</w:t>
      </w:r>
      <w:r w:rsidRPr="001D5E7D">
        <w:rPr>
          <w:rFonts w:ascii="Arial" w:eastAsia="Times New Roman" w:hAnsi="Arial" w:cs="Arial"/>
          <w:i/>
          <w:iCs/>
          <w:color w:val="2A2A2A"/>
          <w:sz w:val="24"/>
          <w:szCs w:val="24"/>
          <w:lang w:eastAsia="es-ES"/>
        </w:rPr>
        <w:t>pción quirúrgica</w:t>
      </w:r>
    </w:p>
    <w:p w14:paraId="63213B8D" w14:textId="77777777" w:rsidR="001D5E7D" w:rsidRDefault="001D5E7D" w:rsidP="001D5E7D">
      <w:pPr>
        <w:spacing w:after="0" w:line="240" w:lineRule="auto"/>
        <w:rPr>
          <w:rFonts w:ascii="Arial" w:eastAsia="Times New Roman" w:hAnsi="Arial" w:cs="Arial"/>
          <w:color w:val="2A2A2A"/>
          <w:sz w:val="24"/>
          <w:szCs w:val="24"/>
          <w:shd w:val="clear" w:color="auto" w:fill="C9D7F1"/>
          <w:lang w:eastAsia="es-ES"/>
        </w:rPr>
      </w:pPr>
      <w:r w:rsidRPr="001D5E7D">
        <w:rPr>
          <w:rFonts w:ascii="Arial" w:eastAsia="Times New Roman" w:hAnsi="Arial" w:cs="Arial"/>
          <w:color w:val="2A2A2A"/>
          <w:sz w:val="24"/>
          <w:szCs w:val="24"/>
          <w:shd w:val="clear" w:color="auto" w:fill="C9D7F1"/>
          <w:lang w:eastAsia="es-ES"/>
        </w:rPr>
        <w:t>No se requiere intervención quirúrgica para pacientes con infección </w:t>
      </w:r>
      <w:r w:rsidRPr="001D5E7D">
        <w:rPr>
          <w:rFonts w:ascii="Arial" w:eastAsia="Times New Roman" w:hAnsi="Arial" w:cs="Arial"/>
          <w:i/>
          <w:iCs/>
          <w:color w:val="2A2A2A"/>
          <w:sz w:val="24"/>
          <w:szCs w:val="24"/>
          <w:lang w:eastAsia="es-ES"/>
        </w:rPr>
        <w:t xml:space="preserve">por H. </w:t>
      </w:r>
      <w:proofErr w:type="gramStart"/>
      <w:r w:rsidRPr="001D5E7D">
        <w:rPr>
          <w:rFonts w:ascii="Arial" w:eastAsia="Times New Roman" w:hAnsi="Arial" w:cs="Arial"/>
          <w:i/>
          <w:iCs/>
          <w:color w:val="2A2A2A"/>
          <w:sz w:val="24"/>
          <w:szCs w:val="24"/>
          <w:lang w:eastAsia="es-ES"/>
        </w:rPr>
        <w:t>pylori</w:t>
      </w:r>
      <w:r w:rsidRPr="001D5E7D">
        <w:rPr>
          <w:rFonts w:ascii="Arial" w:eastAsia="Times New Roman" w:hAnsi="Arial" w:cs="Arial"/>
          <w:color w:val="2A2A2A"/>
          <w:sz w:val="24"/>
          <w:szCs w:val="24"/>
          <w:shd w:val="clear" w:color="auto" w:fill="C9D7F1"/>
          <w:lang w:eastAsia="es-ES"/>
        </w:rPr>
        <w:t> ,</w:t>
      </w:r>
      <w:proofErr w:type="gramEnd"/>
      <w:r w:rsidRPr="001D5E7D">
        <w:rPr>
          <w:rFonts w:ascii="Arial" w:eastAsia="Times New Roman" w:hAnsi="Arial" w:cs="Arial"/>
          <w:color w:val="2A2A2A"/>
          <w:sz w:val="24"/>
          <w:szCs w:val="24"/>
          <w:shd w:val="clear" w:color="auto" w:fill="C9D7F1"/>
          <w:lang w:eastAsia="es-ES"/>
        </w:rPr>
        <w:t xml:space="preserve"> pero puede ser una consideración para pacientes con complicaciones graves, como el cáncer.</w:t>
      </w:r>
    </w:p>
    <w:p w14:paraId="0CF6803E" w14:textId="77777777" w:rsidR="00AE1951" w:rsidRDefault="00AE1951" w:rsidP="001D5E7D">
      <w:pPr>
        <w:spacing w:after="0" w:line="240" w:lineRule="auto"/>
        <w:rPr>
          <w:rFonts w:ascii="Arial" w:eastAsia="Times New Roman" w:hAnsi="Arial" w:cs="Arial"/>
          <w:color w:val="2A2A2A"/>
          <w:sz w:val="24"/>
          <w:szCs w:val="24"/>
          <w:shd w:val="clear" w:color="auto" w:fill="C9D7F1"/>
          <w:lang w:eastAsia="es-ES"/>
        </w:rPr>
      </w:pPr>
    </w:p>
    <w:p w14:paraId="67A29334" w14:textId="77777777" w:rsidR="00AE1951" w:rsidRPr="00AE1951" w:rsidRDefault="00AE1951" w:rsidP="00AE1951">
      <w:pPr>
        <w:spacing w:after="0" w:line="240" w:lineRule="auto"/>
        <w:outlineLvl w:val="1"/>
        <w:rPr>
          <w:rFonts w:ascii="Arial" w:eastAsia="Times New Roman" w:hAnsi="Arial" w:cs="Arial"/>
          <w:color w:val="2A2A2A"/>
          <w:sz w:val="24"/>
          <w:szCs w:val="24"/>
          <w:lang w:eastAsia="es-ES"/>
        </w:rPr>
      </w:pPr>
      <w:r w:rsidRPr="00AE1951">
        <w:rPr>
          <w:rFonts w:ascii="Arial" w:eastAsia="Times New Roman" w:hAnsi="Arial" w:cs="Arial"/>
          <w:color w:val="2A2A2A"/>
          <w:sz w:val="24"/>
          <w:szCs w:val="24"/>
          <w:lang w:eastAsia="es-ES"/>
        </w:rPr>
        <w:t>Antidiarreicos</w:t>
      </w:r>
    </w:p>
    <w:p w14:paraId="62F61312" w14:textId="77777777" w:rsidR="00AE1951" w:rsidRPr="00AE1951" w:rsidRDefault="00AE1951" w:rsidP="00AE1951">
      <w:pPr>
        <w:spacing w:after="0" w:line="240" w:lineRule="auto"/>
        <w:outlineLvl w:val="1"/>
        <w:rPr>
          <w:rFonts w:ascii="Arial" w:eastAsia="Times New Roman" w:hAnsi="Arial" w:cs="Arial"/>
          <w:color w:val="2A2A2A"/>
          <w:sz w:val="24"/>
          <w:szCs w:val="24"/>
          <w:lang w:eastAsia="es-ES"/>
        </w:rPr>
      </w:pPr>
      <w:r w:rsidRPr="00AE1951">
        <w:rPr>
          <w:rFonts w:ascii="Arial" w:eastAsia="Times New Roman" w:hAnsi="Arial" w:cs="Arial"/>
          <w:color w:val="2A2A2A"/>
          <w:sz w:val="24"/>
          <w:szCs w:val="24"/>
          <w:lang w:eastAsia="es-ES"/>
        </w:rPr>
        <w:lastRenderedPageBreak/>
        <w:t>Resumen de clase</w:t>
      </w:r>
    </w:p>
    <w:p w14:paraId="154689EF" w14:textId="77777777" w:rsidR="00AE1951" w:rsidRPr="00AE1951" w:rsidRDefault="00AE1951" w:rsidP="00AE1951">
      <w:pPr>
        <w:spacing w:after="0" w:line="240" w:lineRule="auto"/>
        <w:rPr>
          <w:rFonts w:ascii="Arial" w:eastAsia="Times New Roman" w:hAnsi="Arial" w:cs="Arial"/>
          <w:color w:val="2A2A2A"/>
          <w:sz w:val="24"/>
          <w:szCs w:val="24"/>
          <w:lang w:eastAsia="es-ES"/>
        </w:rPr>
      </w:pPr>
      <w:r w:rsidRPr="00AE1951">
        <w:rPr>
          <w:rFonts w:ascii="Arial" w:eastAsia="Times New Roman" w:hAnsi="Arial" w:cs="Arial"/>
          <w:color w:val="2A2A2A"/>
          <w:sz w:val="24"/>
          <w:szCs w:val="24"/>
          <w:lang w:eastAsia="es-ES"/>
        </w:rPr>
        <w:t>El antidiarreico aprobado para esta infección es el subsalicilato de bismuto. Tiene actividad antisecretora y antimicrobiana.</w:t>
      </w:r>
    </w:p>
    <w:p w14:paraId="4E265AFC" w14:textId="77777777" w:rsidR="00AE1951" w:rsidRPr="00EC6732" w:rsidRDefault="00AE1951" w:rsidP="00AE1951">
      <w:pPr>
        <w:spacing w:before="167" w:after="167" w:line="240" w:lineRule="auto"/>
        <w:outlineLvl w:val="2"/>
        <w:rPr>
          <w:rFonts w:ascii="Times New Roman" w:eastAsia="Times New Roman" w:hAnsi="Times New Roman" w:cs="Times New Roman"/>
          <w:color w:val="007CB0"/>
          <w:sz w:val="24"/>
          <w:szCs w:val="24"/>
          <w:lang w:eastAsia="es-ES"/>
        </w:rPr>
      </w:pPr>
      <w:r w:rsidRPr="00AE1951">
        <w:rPr>
          <w:rFonts w:ascii="Arial" w:eastAsia="Times New Roman" w:hAnsi="Arial" w:cs="Arial"/>
          <w:color w:val="2A2A2A"/>
          <w:sz w:val="24"/>
          <w:szCs w:val="24"/>
          <w:lang w:eastAsia="es-ES"/>
        </w:rPr>
        <w:fldChar w:fldCharType="begin"/>
      </w:r>
      <w:r w:rsidRPr="00AE1951">
        <w:rPr>
          <w:rFonts w:ascii="Arial" w:eastAsia="Times New Roman" w:hAnsi="Arial" w:cs="Arial"/>
          <w:color w:val="2A2A2A"/>
          <w:sz w:val="24"/>
          <w:szCs w:val="24"/>
          <w:lang w:eastAsia="es-ES"/>
        </w:rPr>
        <w:instrText xml:space="preserve"> HYPERLINK "http://reference.medscape.com/drug/kaopectate-pepto-bismol-bismuth-subsalicylate-342037" </w:instrText>
      </w:r>
      <w:r w:rsidRPr="00AE1951">
        <w:rPr>
          <w:rFonts w:ascii="Arial" w:eastAsia="Times New Roman" w:hAnsi="Arial" w:cs="Arial"/>
          <w:color w:val="2A2A2A"/>
          <w:sz w:val="24"/>
          <w:szCs w:val="24"/>
          <w:lang w:eastAsia="es-ES"/>
        </w:rPr>
      </w:r>
      <w:r w:rsidRPr="00AE1951">
        <w:rPr>
          <w:rFonts w:ascii="Arial" w:eastAsia="Times New Roman" w:hAnsi="Arial" w:cs="Arial"/>
          <w:color w:val="2A2A2A"/>
          <w:sz w:val="24"/>
          <w:szCs w:val="24"/>
          <w:lang w:eastAsia="es-ES"/>
        </w:rPr>
        <w:fldChar w:fldCharType="separate"/>
      </w:r>
    </w:p>
    <w:p w14:paraId="307D4220" w14:textId="77777777" w:rsidR="00AE1951" w:rsidRPr="00AE1951" w:rsidRDefault="00AE1951" w:rsidP="00AE1951">
      <w:pPr>
        <w:spacing w:after="0" w:line="240" w:lineRule="auto"/>
        <w:outlineLvl w:val="1"/>
        <w:rPr>
          <w:rFonts w:ascii="Times New Roman" w:eastAsia="Times New Roman" w:hAnsi="Times New Roman" w:cs="Times New Roman"/>
          <w:b/>
          <w:bCs/>
          <w:color w:val="2A2A2A"/>
          <w:sz w:val="24"/>
          <w:szCs w:val="24"/>
          <w:lang w:eastAsia="es-ES"/>
        </w:rPr>
      </w:pPr>
      <w:r w:rsidRPr="00AE1951">
        <w:rPr>
          <w:rFonts w:ascii="Arial" w:eastAsia="Times New Roman" w:hAnsi="Arial" w:cs="Arial"/>
          <w:color w:val="2A2A2A"/>
          <w:sz w:val="24"/>
          <w:szCs w:val="24"/>
          <w:lang w:eastAsia="es-ES"/>
        </w:rPr>
        <w:t>Subsalicilato de bismuto (Bismatrol, Pepto-Bismol)</w:t>
      </w:r>
    </w:p>
    <w:p w14:paraId="505E9187" w14:textId="77777777" w:rsidR="00AE1951" w:rsidRPr="00AE1951" w:rsidRDefault="00AE1951" w:rsidP="00AE1951">
      <w:pPr>
        <w:spacing w:after="0" w:line="240" w:lineRule="auto"/>
        <w:outlineLvl w:val="2"/>
        <w:rPr>
          <w:rFonts w:ascii="Arial" w:eastAsia="Times New Roman" w:hAnsi="Arial" w:cs="Arial"/>
          <w:color w:val="2A2A2A"/>
          <w:sz w:val="24"/>
          <w:szCs w:val="24"/>
          <w:lang w:eastAsia="es-ES"/>
        </w:rPr>
      </w:pPr>
      <w:r w:rsidRPr="00AE1951">
        <w:rPr>
          <w:rFonts w:ascii="Arial" w:eastAsia="Times New Roman" w:hAnsi="Arial" w:cs="Arial"/>
          <w:color w:val="2A2A2A"/>
          <w:sz w:val="24"/>
          <w:szCs w:val="24"/>
          <w:lang w:eastAsia="es-ES"/>
        </w:rPr>
        <w:fldChar w:fldCharType="end"/>
      </w:r>
    </w:p>
    <w:p w14:paraId="5701C1F5" w14:textId="77777777" w:rsidR="00AE1951" w:rsidRPr="00AE1951" w:rsidRDefault="00AE1951" w:rsidP="00AE1951">
      <w:pPr>
        <w:spacing w:after="0" w:line="240" w:lineRule="auto"/>
        <w:rPr>
          <w:rFonts w:ascii="Arial" w:eastAsia="Times New Roman" w:hAnsi="Arial" w:cs="Arial"/>
          <w:color w:val="2A2A2A"/>
          <w:sz w:val="24"/>
          <w:szCs w:val="24"/>
          <w:lang w:eastAsia="es-ES"/>
        </w:rPr>
      </w:pPr>
      <w:r w:rsidRPr="00AE1951">
        <w:rPr>
          <w:rFonts w:ascii="Arial" w:eastAsia="Times New Roman" w:hAnsi="Arial" w:cs="Arial"/>
          <w:color w:val="2A2A2A"/>
          <w:sz w:val="24"/>
          <w:szCs w:val="24"/>
          <w:lang w:eastAsia="es-ES"/>
        </w:rPr>
        <w:t>Tiene efecto citoprotector sobre la mucosa GI, probablemente debido a la estimulación de la producción de prostaglandinas y la modulación de la respuesta inmune. Además, se ha demostrado que algunos depósitos (probablemente sales de bismuto) aparecen en ambas superficies de la pared celular de </w:t>
      </w:r>
      <w:r w:rsidRPr="00EC6732">
        <w:rPr>
          <w:rFonts w:ascii="Arial" w:eastAsia="Times New Roman" w:hAnsi="Arial" w:cs="Arial"/>
          <w:i/>
          <w:iCs/>
          <w:color w:val="2A2A2A"/>
          <w:sz w:val="24"/>
          <w:szCs w:val="24"/>
          <w:lang w:eastAsia="es-ES"/>
        </w:rPr>
        <w:t>H. pylori</w:t>
      </w:r>
      <w:r w:rsidRPr="00AE1951">
        <w:rPr>
          <w:rFonts w:ascii="Arial" w:eastAsia="Times New Roman" w:hAnsi="Arial" w:cs="Arial"/>
          <w:color w:val="2A2A2A"/>
          <w:sz w:val="24"/>
          <w:szCs w:val="24"/>
          <w:lang w:eastAsia="es-ES"/>
        </w:rPr>
        <w:t> después de H. pylori&lt;/i&gt; del epitelio antral.</w:t>
      </w:r>
    </w:p>
    <w:p w14:paraId="797AACA4" w14:textId="77777777" w:rsidR="00AE1951" w:rsidRPr="00EC6732" w:rsidRDefault="00AE1951" w:rsidP="001D5E7D">
      <w:pPr>
        <w:spacing w:after="0" w:line="240" w:lineRule="auto"/>
        <w:rPr>
          <w:rFonts w:ascii="Arial" w:eastAsia="Times New Roman" w:hAnsi="Arial" w:cs="Arial"/>
          <w:color w:val="2A2A2A"/>
          <w:sz w:val="24"/>
          <w:szCs w:val="24"/>
          <w:lang w:eastAsia="es-ES"/>
        </w:rPr>
      </w:pPr>
    </w:p>
    <w:p w14:paraId="723E0B35" w14:textId="77777777" w:rsidR="00761F3C" w:rsidRPr="00761F3C" w:rsidRDefault="00761F3C" w:rsidP="00761F3C">
      <w:pPr>
        <w:spacing w:after="0" w:line="240" w:lineRule="auto"/>
        <w:outlineLvl w:val="1"/>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antibióticos</w:t>
      </w:r>
    </w:p>
    <w:p w14:paraId="5140E55E" w14:textId="77777777" w:rsidR="00761F3C" w:rsidRPr="00761F3C" w:rsidRDefault="00761F3C" w:rsidP="00761F3C">
      <w:pPr>
        <w:spacing w:after="0" w:line="240" w:lineRule="auto"/>
        <w:outlineLvl w:val="1"/>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Resumen de clase</w:t>
      </w:r>
    </w:p>
    <w:p w14:paraId="41AC1D64" w14:textId="77777777" w:rsidR="00761F3C" w:rsidRPr="00761F3C" w:rsidRDefault="00761F3C" w:rsidP="00761F3C">
      <w:pPr>
        <w:spacing w:after="0" w:line="240" w:lineRule="auto"/>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Use agentes que se sabe que son efectivos contra </w:t>
      </w:r>
      <w:r w:rsidRPr="00EC6732">
        <w:rPr>
          <w:rFonts w:ascii="Arial" w:eastAsia="Times New Roman" w:hAnsi="Arial" w:cs="Arial"/>
          <w:i/>
          <w:iCs/>
          <w:color w:val="2A2A2A"/>
          <w:sz w:val="24"/>
          <w:szCs w:val="24"/>
          <w:lang w:eastAsia="es-ES"/>
        </w:rPr>
        <w:t>H. pylori.</w:t>
      </w:r>
    </w:p>
    <w:p w14:paraId="02F061CB" w14:textId="77777777" w:rsidR="00761F3C" w:rsidRPr="00EC6732" w:rsidRDefault="00761F3C" w:rsidP="00761F3C">
      <w:pPr>
        <w:spacing w:before="167" w:after="167" w:line="240" w:lineRule="auto"/>
        <w:outlineLvl w:val="2"/>
        <w:rPr>
          <w:rFonts w:ascii="Times New Roman" w:eastAsia="Times New Roman" w:hAnsi="Times New Roman" w:cs="Times New Roman"/>
          <w:color w:val="007CB0"/>
          <w:sz w:val="24"/>
          <w:szCs w:val="24"/>
          <w:lang w:eastAsia="es-ES"/>
        </w:rPr>
      </w:pPr>
      <w:r w:rsidRPr="00761F3C">
        <w:rPr>
          <w:rFonts w:ascii="Arial" w:eastAsia="Times New Roman" w:hAnsi="Arial" w:cs="Arial"/>
          <w:color w:val="2A2A2A"/>
          <w:sz w:val="24"/>
          <w:szCs w:val="24"/>
          <w:lang w:eastAsia="es-ES"/>
        </w:rPr>
        <w:fldChar w:fldCharType="begin"/>
      </w:r>
      <w:r w:rsidRPr="00761F3C">
        <w:rPr>
          <w:rFonts w:ascii="Arial" w:eastAsia="Times New Roman" w:hAnsi="Arial" w:cs="Arial"/>
          <w:color w:val="2A2A2A"/>
          <w:sz w:val="24"/>
          <w:szCs w:val="24"/>
          <w:lang w:eastAsia="es-ES"/>
        </w:rPr>
        <w:instrText xml:space="preserve"> HYPERLINK "http://reference.medscape.com/drug/flagyl-metronidazole-342566" </w:instrText>
      </w:r>
      <w:r w:rsidRPr="00761F3C">
        <w:rPr>
          <w:rFonts w:ascii="Arial" w:eastAsia="Times New Roman" w:hAnsi="Arial" w:cs="Arial"/>
          <w:color w:val="2A2A2A"/>
          <w:sz w:val="24"/>
          <w:szCs w:val="24"/>
          <w:lang w:eastAsia="es-ES"/>
        </w:rPr>
      </w:r>
      <w:r w:rsidRPr="00761F3C">
        <w:rPr>
          <w:rFonts w:ascii="Arial" w:eastAsia="Times New Roman" w:hAnsi="Arial" w:cs="Arial"/>
          <w:color w:val="2A2A2A"/>
          <w:sz w:val="24"/>
          <w:szCs w:val="24"/>
          <w:lang w:eastAsia="es-ES"/>
        </w:rPr>
        <w:fldChar w:fldCharType="separate"/>
      </w:r>
    </w:p>
    <w:p w14:paraId="5AE461C4" w14:textId="77777777" w:rsidR="00761F3C" w:rsidRPr="00761F3C" w:rsidRDefault="00761F3C" w:rsidP="00761F3C">
      <w:pPr>
        <w:spacing w:after="0" w:line="240" w:lineRule="auto"/>
        <w:outlineLvl w:val="1"/>
        <w:rPr>
          <w:rFonts w:ascii="Times New Roman" w:eastAsia="Times New Roman" w:hAnsi="Times New Roman" w:cs="Times New Roman"/>
          <w:b/>
          <w:bCs/>
          <w:color w:val="2A2A2A"/>
          <w:sz w:val="24"/>
          <w:szCs w:val="24"/>
          <w:lang w:eastAsia="es-ES"/>
        </w:rPr>
      </w:pPr>
      <w:r w:rsidRPr="00761F3C">
        <w:rPr>
          <w:rFonts w:ascii="Arial" w:eastAsia="Times New Roman" w:hAnsi="Arial" w:cs="Arial"/>
          <w:color w:val="2A2A2A"/>
          <w:sz w:val="24"/>
          <w:szCs w:val="24"/>
          <w:lang w:eastAsia="es-ES"/>
        </w:rPr>
        <w:t>Metronidazol (Flagyl)</w:t>
      </w:r>
    </w:p>
    <w:p w14:paraId="06877ED1" w14:textId="77777777" w:rsidR="00761F3C" w:rsidRPr="00761F3C" w:rsidRDefault="00761F3C" w:rsidP="00761F3C">
      <w:pPr>
        <w:spacing w:after="0" w:line="240" w:lineRule="auto"/>
        <w:outlineLvl w:val="2"/>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fldChar w:fldCharType="end"/>
      </w:r>
    </w:p>
    <w:p w14:paraId="1718BD8B" w14:textId="77777777" w:rsidR="00761F3C" w:rsidRPr="00761F3C" w:rsidRDefault="00761F3C" w:rsidP="00761F3C">
      <w:pPr>
        <w:spacing w:after="0" w:line="240" w:lineRule="auto"/>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Reducido a su forma activa intracelularmente solo por organismos anaerobios, luego altera la estructura helicoidal del ADN e inhibe la síntesis de ácido nucleico bacteriano.</w:t>
      </w:r>
    </w:p>
    <w:p w14:paraId="2B2C3804" w14:textId="77777777" w:rsidR="00761F3C" w:rsidRPr="00EC6732" w:rsidRDefault="00761F3C" w:rsidP="00761F3C">
      <w:pPr>
        <w:spacing w:before="167" w:after="167" w:line="240" w:lineRule="auto"/>
        <w:outlineLvl w:val="2"/>
        <w:rPr>
          <w:rFonts w:ascii="Times New Roman" w:eastAsia="Times New Roman" w:hAnsi="Times New Roman" w:cs="Times New Roman"/>
          <w:color w:val="007CB0"/>
          <w:sz w:val="24"/>
          <w:szCs w:val="24"/>
          <w:lang w:eastAsia="es-ES"/>
        </w:rPr>
      </w:pPr>
      <w:r w:rsidRPr="00761F3C">
        <w:rPr>
          <w:rFonts w:ascii="Arial" w:eastAsia="Times New Roman" w:hAnsi="Arial" w:cs="Arial"/>
          <w:color w:val="2A2A2A"/>
          <w:sz w:val="24"/>
          <w:szCs w:val="24"/>
          <w:lang w:eastAsia="es-ES"/>
        </w:rPr>
        <w:fldChar w:fldCharType="begin"/>
      </w:r>
      <w:r w:rsidRPr="00761F3C">
        <w:rPr>
          <w:rFonts w:ascii="Arial" w:eastAsia="Times New Roman" w:hAnsi="Arial" w:cs="Arial"/>
          <w:color w:val="2A2A2A"/>
          <w:sz w:val="24"/>
          <w:szCs w:val="24"/>
          <w:lang w:eastAsia="es-ES"/>
        </w:rPr>
        <w:instrText xml:space="preserve"> HYPERLINK "http://reference.medscape.com/drug/tetracycline-342550" </w:instrText>
      </w:r>
      <w:r w:rsidRPr="00761F3C">
        <w:rPr>
          <w:rFonts w:ascii="Arial" w:eastAsia="Times New Roman" w:hAnsi="Arial" w:cs="Arial"/>
          <w:color w:val="2A2A2A"/>
          <w:sz w:val="24"/>
          <w:szCs w:val="24"/>
          <w:lang w:eastAsia="es-ES"/>
        </w:rPr>
      </w:r>
      <w:r w:rsidRPr="00761F3C">
        <w:rPr>
          <w:rFonts w:ascii="Arial" w:eastAsia="Times New Roman" w:hAnsi="Arial" w:cs="Arial"/>
          <w:color w:val="2A2A2A"/>
          <w:sz w:val="24"/>
          <w:szCs w:val="24"/>
          <w:lang w:eastAsia="es-ES"/>
        </w:rPr>
        <w:fldChar w:fldCharType="separate"/>
      </w:r>
    </w:p>
    <w:p w14:paraId="5A6DC5F9" w14:textId="77777777" w:rsidR="00761F3C" w:rsidRPr="00761F3C" w:rsidRDefault="00761F3C" w:rsidP="00761F3C">
      <w:pPr>
        <w:spacing w:after="0" w:line="240" w:lineRule="auto"/>
        <w:outlineLvl w:val="1"/>
        <w:rPr>
          <w:rFonts w:ascii="Times New Roman" w:eastAsia="Times New Roman" w:hAnsi="Times New Roman" w:cs="Times New Roman"/>
          <w:b/>
          <w:bCs/>
          <w:color w:val="2A2A2A"/>
          <w:sz w:val="24"/>
          <w:szCs w:val="24"/>
          <w:lang w:eastAsia="es-ES"/>
        </w:rPr>
      </w:pPr>
      <w:r w:rsidRPr="00761F3C">
        <w:rPr>
          <w:rFonts w:ascii="Arial" w:eastAsia="Times New Roman" w:hAnsi="Arial" w:cs="Arial"/>
          <w:color w:val="2A2A2A"/>
          <w:sz w:val="24"/>
          <w:szCs w:val="24"/>
          <w:lang w:eastAsia="es-ES"/>
        </w:rPr>
        <w:t>Tetraciclina (Sumycin)</w:t>
      </w:r>
    </w:p>
    <w:p w14:paraId="4050B71A" w14:textId="77777777" w:rsidR="00761F3C" w:rsidRPr="00761F3C" w:rsidRDefault="00761F3C" w:rsidP="00761F3C">
      <w:pPr>
        <w:spacing w:after="0" w:line="240" w:lineRule="auto"/>
        <w:outlineLvl w:val="2"/>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fldChar w:fldCharType="end"/>
      </w:r>
    </w:p>
    <w:p w14:paraId="738D2B85" w14:textId="77777777" w:rsidR="00761F3C" w:rsidRPr="00761F3C" w:rsidRDefault="00761F3C" w:rsidP="00761F3C">
      <w:pPr>
        <w:spacing w:after="0" w:line="240" w:lineRule="auto"/>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Inhibe la síntesis de proteínas bacterianas al unirse con la(s) subunidad(es) ribosómica(s) 30S y posiblemente 50S.</w:t>
      </w:r>
    </w:p>
    <w:p w14:paraId="09CB8DAC" w14:textId="77777777" w:rsidR="00761F3C" w:rsidRPr="00EC6732" w:rsidRDefault="00761F3C" w:rsidP="00761F3C">
      <w:pPr>
        <w:spacing w:before="167" w:after="167" w:line="240" w:lineRule="auto"/>
        <w:outlineLvl w:val="2"/>
        <w:rPr>
          <w:rFonts w:ascii="Times New Roman" w:eastAsia="Times New Roman" w:hAnsi="Times New Roman" w:cs="Times New Roman"/>
          <w:color w:val="007CB0"/>
          <w:sz w:val="24"/>
          <w:szCs w:val="24"/>
          <w:lang w:eastAsia="es-ES"/>
        </w:rPr>
      </w:pPr>
      <w:r w:rsidRPr="00761F3C">
        <w:rPr>
          <w:rFonts w:ascii="Arial" w:eastAsia="Times New Roman" w:hAnsi="Arial" w:cs="Arial"/>
          <w:color w:val="2A2A2A"/>
          <w:sz w:val="24"/>
          <w:szCs w:val="24"/>
          <w:lang w:eastAsia="es-ES"/>
        </w:rPr>
        <w:fldChar w:fldCharType="begin"/>
      </w:r>
      <w:r w:rsidRPr="00761F3C">
        <w:rPr>
          <w:rFonts w:ascii="Arial" w:eastAsia="Times New Roman" w:hAnsi="Arial" w:cs="Arial"/>
          <w:color w:val="2A2A2A"/>
          <w:sz w:val="24"/>
          <w:szCs w:val="24"/>
          <w:lang w:eastAsia="es-ES"/>
        </w:rPr>
        <w:instrText xml:space="preserve"> HYPERLINK "http://reference.medscape.com/drug/clarithromycin-342524" </w:instrText>
      </w:r>
      <w:r w:rsidRPr="00761F3C">
        <w:rPr>
          <w:rFonts w:ascii="Arial" w:eastAsia="Times New Roman" w:hAnsi="Arial" w:cs="Arial"/>
          <w:color w:val="2A2A2A"/>
          <w:sz w:val="24"/>
          <w:szCs w:val="24"/>
          <w:lang w:eastAsia="es-ES"/>
        </w:rPr>
      </w:r>
      <w:r w:rsidRPr="00761F3C">
        <w:rPr>
          <w:rFonts w:ascii="Arial" w:eastAsia="Times New Roman" w:hAnsi="Arial" w:cs="Arial"/>
          <w:color w:val="2A2A2A"/>
          <w:sz w:val="24"/>
          <w:szCs w:val="24"/>
          <w:lang w:eastAsia="es-ES"/>
        </w:rPr>
        <w:fldChar w:fldCharType="separate"/>
      </w:r>
    </w:p>
    <w:p w14:paraId="6106B8CE" w14:textId="77777777" w:rsidR="00761F3C" w:rsidRPr="00761F3C" w:rsidRDefault="00761F3C" w:rsidP="00761F3C">
      <w:pPr>
        <w:spacing w:after="0" w:line="240" w:lineRule="auto"/>
        <w:outlineLvl w:val="1"/>
        <w:rPr>
          <w:rFonts w:ascii="Times New Roman" w:eastAsia="Times New Roman" w:hAnsi="Times New Roman" w:cs="Times New Roman"/>
          <w:b/>
          <w:bCs/>
          <w:color w:val="2A2A2A"/>
          <w:sz w:val="24"/>
          <w:szCs w:val="24"/>
          <w:lang w:eastAsia="es-ES"/>
        </w:rPr>
      </w:pPr>
      <w:r w:rsidRPr="00761F3C">
        <w:rPr>
          <w:rFonts w:ascii="Arial" w:eastAsia="Times New Roman" w:hAnsi="Arial" w:cs="Arial"/>
          <w:color w:val="2A2A2A"/>
          <w:sz w:val="24"/>
          <w:szCs w:val="24"/>
          <w:lang w:eastAsia="es-ES"/>
        </w:rPr>
        <w:t>Claritromicina (Biaxin)</w:t>
      </w:r>
    </w:p>
    <w:p w14:paraId="59EC8EF3" w14:textId="77777777" w:rsidR="00761F3C" w:rsidRPr="00761F3C" w:rsidRDefault="00761F3C" w:rsidP="00761F3C">
      <w:pPr>
        <w:spacing w:after="0" w:line="240" w:lineRule="auto"/>
        <w:outlineLvl w:val="2"/>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fldChar w:fldCharType="end"/>
      </w:r>
    </w:p>
    <w:p w14:paraId="6334F17E" w14:textId="77777777" w:rsidR="00761F3C" w:rsidRPr="00761F3C" w:rsidRDefault="00761F3C" w:rsidP="00761F3C">
      <w:pPr>
        <w:spacing w:after="0" w:line="240" w:lineRule="auto"/>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Inhibe el crecimiento bacteriano, posiblemente al bloquear la disociación de peptidil tRNA de los ribosomas, lo que provoca la detención de la síntesis de proteínas dependientes de RNA.</w:t>
      </w:r>
    </w:p>
    <w:p w14:paraId="01215A3A" w14:textId="77777777" w:rsidR="00761F3C" w:rsidRPr="00EC6732" w:rsidRDefault="00761F3C" w:rsidP="00761F3C">
      <w:pPr>
        <w:spacing w:before="167" w:after="167" w:line="240" w:lineRule="auto"/>
        <w:outlineLvl w:val="2"/>
        <w:rPr>
          <w:rFonts w:ascii="Times New Roman" w:eastAsia="Times New Roman" w:hAnsi="Times New Roman" w:cs="Times New Roman"/>
          <w:color w:val="007CB0"/>
          <w:sz w:val="24"/>
          <w:szCs w:val="24"/>
          <w:lang w:eastAsia="es-ES"/>
        </w:rPr>
      </w:pPr>
      <w:r w:rsidRPr="00761F3C">
        <w:rPr>
          <w:rFonts w:ascii="Arial" w:eastAsia="Times New Roman" w:hAnsi="Arial" w:cs="Arial"/>
          <w:color w:val="2A2A2A"/>
          <w:sz w:val="24"/>
          <w:szCs w:val="24"/>
          <w:lang w:eastAsia="es-ES"/>
        </w:rPr>
        <w:fldChar w:fldCharType="begin"/>
      </w:r>
      <w:r w:rsidRPr="00761F3C">
        <w:rPr>
          <w:rFonts w:ascii="Arial" w:eastAsia="Times New Roman" w:hAnsi="Arial" w:cs="Arial"/>
          <w:color w:val="2A2A2A"/>
          <w:sz w:val="24"/>
          <w:szCs w:val="24"/>
          <w:lang w:eastAsia="es-ES"/>
        </w:rPr>
        <w:instrText xml:space="preserve"> HYPERLINK "http://reference.medscape.com/drug/amoxil-amoxicillin-342473" </w:instrText>
      </w:r>
      <w:r w:rsidRPr="00761F3C">
        <w:rPr>
          <w:rFonts w:ascii="Arial" w:eastAsia="Times New Roman" w:hAnsi="Arial" w:cs="Arial"/>
          <w:color w:val="2A2A2A"/>
          <w:sz w:val="24"/>
          <w:szCs w:val="24"/>
          <w:lang w:eastAsia="es-ES"/>
        </w:rPr>
      </w:r>
      <w:r w:rsidRPr="00761F3C">
        <w:rPr>
          <w:rFonts w:ascii="Arial" w:eastAsia="Times New Roman" w:hAnsi="Arial" w:cs="Arial"/>
          <w:color w:val="2A2A2A"/>
          <w:sz w:val="24"/>
          <w:szCs w:val="24"/>
          <w:lang w:eastAsia="es-ES"/>
        </w:rPr>
        <w:fldChar w:fldCharType="separate"/>
      </w:r>
    </w:p>
    <w:p w14:paraId="778F0250" w14:textId="77777777" w:rsidR="00761F3C" w:rsidRPr="00761F3C" w:rsidRDefault="00761F3C" w:rsidP="00761F3C">
      <w:pPr>
        <w:spacing w:after="0" w:line="240" w:lineRule="auto"/>
        <w:outlineLvl w:val="1"/>
        <w:rPr>
          <w:rFonts w:ascii="Times New Roman" w:eastAsia="Times New Roman" w:hAnsi="Times New Roman" w:cs="Times New Roman"/>
          <w:b/>
          <w:bCs/>
          <w:color w:val="2A2A2A"/>
          <w:sz w:val="24"/>
          <w:szCs w:val="24"/>
          <w:lang w:eastAsia="es-ES"/>
        </w:rPr>
      </w:pPr>
      <w:r w:rsidRPr="00761F3C">
        <w:rPr>
          <w:rFonts w:ascii="Arial" w:eastAsia="Times New Roman" w:hAnsi="Arial" w:cs="Arial"/>
          <w:color w:val="2A2A2A"/>
          <w:sz w:val="24"/>
          <w:szCs w:val="24"/>
          <w:lang w:eastAsia="es-ES"/>
        </w:rPr>
        <w:t>Amoxicilina (Amoxil, Trimox)</w:t>
      </w:r>
    </w:p>
    <w:p w14:paraId="4458AD73" w14:textId="77777777" w:rsidR="00761F3C" w:rsidRPr="00761F3C" w:rsidRDefault="00761F3C" w:rsidP="00761F3C">
      <w:pPr>
        <w:spacing w:after="0" w:line="240" w:lineRule="auto"/>
        <w:outlineLvl w:val="2"/>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fldChar w:fldCharType="end"/>
      </w:r>
    </w:p>
    <w:p w14:paraId="1902F9DC" w14:textId="77777777" w:rsidR="00761F3C" w:rsidRPr="00761F3C" w:rsidRDefault="00761F3C" w:rsidP="00761F3C">
      <w:pPr>
        <w:spacing w:after="0" w:line="240" w:lineRule="auto"/>
        <w:rPr>
          <w:rFonts w:ascii="Arial" w:eastAsia="Times New Roman" w:hAnsi="Arial" w:cs="Arial"/>
          <w:color w:val="2A2A2A"/>
          <w:sz w:val="24"/>
          <w:szCs w:val="24"/>
          <w:lang w:eastAsia="es-ES"/>
        </w:rPr>
      </w:pPr>
      <w:r w:rsidRPr="00761F3C">
        <w:rPr>
          <w:rFonts w:ascii="Arial" w:eastAsia="Times New Roman" w:hAnsi="Arial" w:cs="Arial"/>
          <w:color w:val="2A2A2A"/>
          <w:sz w:val="24"/>
          <w:szCs w:val="24"/>
          <w:shd w:val="clear" w:color="auto" w:fill="C9D7F1"/>
          <w:lang w:eastAsia="es-ES"/>
        </w:rPr>
        <w:t>Inhibe la etapa final de la síntesis de la pared celular bacteriana al unirse a PBP específicas en la parte interna de la pared bacteriana, lo que lleva a la lisis bacteriana.</w:t>
      </w:r>
    </w:p>
    <w:p w14:paraId="223821AC" w14:textId="77777777" w:rsidR="00761F3C" w:rsidRPr="00EC6732" w:rsidRDefault="00761F3C" w:rsidP="001D5E7D">
      <w:pPr>
        <w:spacing w:after="0" w:line="240" w:lineRule="auto"/>
        <w:rPr>
          <w:rFonts w:ascii="Arial" w:eastAsia="Times New Roman" w:hAnsi="Arial" w:cs="Arial"/>
          <w:color w:val="2A2A2A"/>
          <w:sz w:val="24"/>
          <w:szCs w:val="24"/>
          <w:lang w:eastAsia="es-ES"/>
        </w:rPr>
      </w:pPr>
    </w:p>
    <w:p w14:paraId="5E709887" w14:textId="77777777" w:rsidR="00761F3C" w:rsidRPr="00761F3C" w:rsidRDefault="00761F3C" w:rsidP="00761F3C">
      <w:pPr>
        <w:spacing w:after="0" w:line="240" w:lineRule="auto"/>
        <w:outlineLvl w:val="1"/>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Inhibidores de la bomba de protones</w:t>
      </w:r>
    </w:p>
    <w:p w14:paraId="2098531A" w14:textId="77777777" w:rsidR="00761F3C" w:rsidRPr="00761F3C" w:rsidRDefault="00761F3C" w:rsidP="00761F3C">
      <w:pPr>
        <w:spacing w:after="0" w:line="240" w:lineRule="auto"/>
        <w:outlineLvl w:val="1"/>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Resumen de clase</w:t>
      </w:r>
    </w:p>
    <w:p w14:paraId="0EB8E10B" w14:textId="77777777" w:rsidR="00761F3C" w:rsidRPr="00761F3C" w:rsidRDefault="00761F3C" w:rsidP="00761F3C">
      <w:pPr>
        <w:spacing w:after="0" w:line="240" w:lineRule="auto"/>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Se une a la bomba de protones de las células parietales, inhibiendo la secreción de iones de hidrógeno en la luz gástrica. Alivia el dolor y cura las úlceras pépticas más rápidamente que los antagonistas H2.</w:t>
      </w:r>
    </w:p>
    <w:p w14:paraId="659E193E" w14:textId="77777777" w:rsidR="00761F3C" w:rsidRPr="00EC6732" w:rsidRDefault="00761F3C" w:rsidP="00761F3C">
      <w:pPr>
        <w:spacing w:before="167" w:after="167" w:line="240" w:lineRule="auto"/>
        <w:outlineLvl w:val="2"/>
        <w:rPr>
          <w:rFonts w:ascii="Times New Roman" w:eastAsia="Times New Roman" w:hAnsi="Times New Roman" w:cs="Times New Roman"/>
          <w:color w:val="007CB0"/>
          <w:sz w:val="24"/>
          <w:szCs w:val="24"/>
          <w:lang w:eastAsia="es-ES"/>
        </w:rPr>
      </w:pPr>
      <w:r w:rsidRPr="00761F3C">
        <w:rPr>
          <w:rFonts w:ascii="Arial" w:eastAsia="Times New Roman" w:hAnsi="Arial" w:cs="Arial"/>
          <w:color w:val="2A2A2A"/>
          <w:sz w:val="24"/>
          <w:szCs w:val="24"/>
          <w:lang w:eastAsia="es-ES"/>
        </w:rPr>
        <w:lastRenderedPageBreak/>
        <w:fldChar w:fldCharType="begin"/>
      </w:r>
      <w:r w:rsidRPr="00761F3C">
        <w:rPr>
          <w:rFonts w:ascii="Arial" w:eastAsia="Times New Roman" w:hAnsi="Arial" w:cs="Arial"/>
          <w:color w:val="2A2A2A"/>
          <w:sz w:val="24"/>
          <w:szCs w:val="24"/>
          <w:lang w:eastAsia="es-ES"/>
        </w:rPr>
        <w:instrText xml:space="preserve"> HYPERLINK "http://reference.medscape.com/drug/prevacid-solu-tab-lansoprazole-341991" </w:instrText>
      </w:r>
      <w:r w:rsidRPr="00761F3C">
        <w:rPr>
          <w:rFonts w:ascii="Arial" w:eastAsia="Times New Roman" w:hAnsi="Arial" w:cs="Arial"/>
          <w:color w:val="2A2A2A"/>
          <w:sz w:val="24"/>
          <w:szCs w:val="24"/>
          <w:lang w:eastAsia="es-ES"/>
        </w:rPr>
      </w:r>
      <w:r w:rsidRPr="00761F3C">
        <w:rPr>
          <w:rFonts w:ascii="Arial" w:eastAsia="Times New Roman" w:hAnsi="Arial" w:cs="Arial"/>
          <w:color w:val="2A2A2A"/>
          <w:sz w:val="24"/>
          <w:szCs w:val="24"/>
          <w:lang w:eastAsia="es-ES"/>
        </w:rPr>
        <w:fldChar w:fldCharType="separate"/>
      </w:r>
    </w:p>
    <w:p w14:paraId="7D3B4CD7" w14:textId="77777777" w:rsidR="00761F3C" w:rsidRPr="00761F3C" w:rsidRDefault="00761F3C" w:rsidP="00761F3C">
      <w:pPr>
        <w:spacing w:after="0" w:line="240" w:lineRule="auto"/>
        <w:outlineLvl w:val="1"/>
        <w:rPr>
          <w:rFonts w:ascii="Times New Roman" w:eastAsia="Times New Roman" w:hAnsi="Times New Roman" w:cs="Times New Roman"/>
          <w:b/>
          <w:bCs/>
          <w:color w:val="2A2A2A"/>
          <w:sz w:val="24"/>
          <w:szCs w:val="24"/>
          <w:lang w:eastAsia="es-ES"/>
        </w:rPr>
      </w:pPr>
      <w:r w:rsidRPr="00761F3C">
        <w:rPr>
          <w:rFonts w:ascii="Arial" w:eastAsia="Times New Roman" w:hAnsi="Arial" w:cs="Arial"/>
          <w:color w:val="2A2A2A"/>
          <w:sz w:val="24"/>
          <w:szCs w:val="24"/>
          <w:lang w:eastAsia="es-ES"/>
        </w:rPr>
        <w:t>Lansoprazol (Prevacid)</w:t>
      </w:r>
    </w:p>
    <w:p w14:paraId="66FFD4D5" w14:textId="77777777" w:rsidR="00761F3C" w:rsidRPr="00761F3C" w:rsidRDefault="00761F3C" w:rsidP="00761F3C">
      <w:pPr>
        <w:spacing w:after="0" w:line="240" w:lineRule="auto"/>
        <w:outlineLvl w:val="2"/>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fldChar w:fldCharType="end"/>
      </w:r>
    </w:p>
    <w:p w14:paraId="7F94CB9D" w14:textId="77777777" w:rsidR="00761F3C" w:rsidRPr="00761F3C" w:rsidRDefault="00761F3C" w:rsidP="00761F3C">
      <w:pPr>
        <w:spacing w:after="0" w:line="240" w:lineRule="auto"/>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t>Actúa inhibiendo el sistema enzimático H </w:t>
      </w:r>
      <w:r w:rsidRPr="00761F3C">
        <w:rPr>
          <w:rFonts w:ascii="Arial" w:eastAsia="Times New Roman" w:hAnsi="Arial" w:cs="Arial"/>
          <w:color w:val="2A2A2A"/>
          <w:sz w:val="24"/>
          <w:szCs w:val="24"/>
          <w:vertAlign w:val="superscript"/>
          <w:lang w:eastAsia="es-ES"/>
        </w:rPr>
        <w:t>+</w:t>
      </w:r>
      <w:r w:rsidRPr="00761F3C">
        <w:rPr>
          <w:rFonts w:ascii="Arial" w:eastAsia="Times New Roman" w:hAnsi="Arial" w:cs="Arial"/>
          <w:color w:val="2A2A2A"/>
          <w:sz w:val="24"/>
          <w:szCs w:val="24"/>
          <w:lang w:eastAsia="es-ES"/>
        </w:rPr>
        <w:t> /K </w:t>
      </w:r>
      <w:r w:rsidRPr="00761F3C">
        <w:rPr>
          <w:rFonts w:ascii="Arial" w:eastAsia="Times New Roman" w:hAnsi="Arial" w:cs="Arial"/>
          <w:color w:val="2A2A2A"/>
          <w:sz w:val="24"/>
          <w:szCs w:val="24"/>
          <w:vertAlign w:val="superscript"/>
          <w:lang w:eastAsia="es-ES"/>
        </w:rPr>
        <w:t>+</w:t>
      </w:r>
      <w:r w:rsidRPr="00761F3C">
        <w:rPr>
          <w:rFonts w:ascii="Arial" w:eastAsia="Times New Roman" w:hAnsi="Arial" w:cs="Arial"/>
          <w:color w:val="2A2A2A"/>
          <w:sz w:val="24"/>
          <w:szCs w:val="24"/>
          <w:lang w:eastAsia="es-ES"/>
        </w:rPr>
        <w:t> -ATPasa de las células parietales gástricas.</w:t>
      </w:r>
    </w:p>
    <w:p w14:paraId="0A5436E1" w14:textId="77777777" w:rsidR="00761F3C" w:rsidRPr="00EC6732" w:rsidRDefault="00761F3C" w:rsidP="00761F3C">
      <w:pPr>
        <w:spacing w:before="167" w:after="167" w:line="240" w:lineRule="auto"/>
        <w:outlineLvl w:val="2"/>
        <w:rPr>
          <w:rFonts w:ascii="Times New Roman" w:eastAsia="Times New Roman" w:hAnsi="Times New Roman" w:cs="Times New Roman"/>
          <w:color w:val="007CB0"/>
          <w:sz w:val="24"/>
          <w:szCs w:val="24"/>
          <w:lang w:eastAsia="es-ES"/>
        </w:rPr>
      </w:pPr>
      <w:r w:rsidRPr="00761F3C">
        <w:rPr>
          <w:rFonts w:ascii="Arial" w:eastAsia="Times New Roman" w:hAnsi="Arial" w:cs="Arial"/>
          <w:color w:val="2A2A2A"/>
          <w:sz w:val="24"/>
          <w:szCs w:val="24"/>
          <w:lang w:eastAsia="es-ES"/>
        </w:rPr>
        <w:fldChar w:fldCharType="begin"/>
      </w:r>
      <w:r w:rsidRPr="00761F3C">
        <w:rPr>
          <w:rFonts w:ascii="Arial" w:eastAsia="Times New Roman" w:hAnsi="Arial" w:cs="Arial"/>
          <w:color w:val="2A2A2A"/>
          <w:sz w:val="24"/>
          <w:szCs w:val="24"/>
          <w:lang w:eastAsia="es-ES"/>
        </w:rPr>
        <w:instrText xml:space="preserve"> HYPERLINK "http://reference.medscape.com/drug/prilosec-omeprazole-341997" </w:instrText>
      </w:r>
      <w:r w:rsidRPr="00761F3C">
        <w:rPr>
          <w:rFonts w:ascii="Arial" w:eastAsia="Times New Roman" w:hAnsi="Arial" w:cs="Arial"/>
          <w:color w:val="2A2A2A"/>
          <w:sz w:val="24"/>
          <w:szCs w:val="24"/>
          <w:lang w:eastAsia="es-ES"/>
        </w:rPr>
      </w:r>
      <w:r w:rsidRPr="00761F3C">
        <w:rPr>
          <w:rFonts w:ascii="Arial" w:eastAsia="Times New Roman" w:hAnsi="Arial" w:cs="Arial"/>
          <w:color w:val="2A2A2A"/>
          <w:sz w:val="24"/>
          <w:szCs w:val="24"/>
          <w:lang w:eastAsia="es-ES"/>
        </w:rPr>
        <w:fldChar w:fldCharType="separate"/>
      </w:r>
    </w:p>
    <w:p w14:paraId="5BCA1E7E" w14:textId="77777777" w:rsidR="00761F3C" w:rsidRPr="00761F3C" w:rsidRDefault="00761F3C" w:rsidP="00761F3C">
      <w:pPr>
        <w:spacing w:after="0" w:line="240" w:lineRule="auto"/>
        <w:outlineLvl w:val="1"/>
        <w:rPr>
          <w:rFonts w:ascii="Times New Roman" w:eastAsia="Times New Roman" w:hAnsi="Times New Roman" w:cs="Times New Roman"/>
          <w:b/>
          <w:bCs/>
          <w:color w:val="2A2A2A"/>
          <w:sz w:val="24"/>
          <w:szCs w:val="24"/>
          <w:lang w:eastAsia="es-ES"/>
        </w:rPr>
      </w:pPr>
      <w:r w:rsidRPr="00761F3C">
        <w:rPr>
          <w:rFonts w:ascii="Arial" w:eastAsia="Times New Roman" w:hAnsi="Arial" w:cs="Arial"/>
          <w:color w:val="2A2A2A"/>
          <w:sz w:val="24"/>
          <w:szCs w:val="24"/>
          <w:lang w:eastAsia="es-ES"/>
        </w:rPr>
        <w:t>Omeprazol (Prilosec)</w:t>
      </w:r>
    </w:p>
    <w:p w14:paraId="7400AFEC" w14:textId="77777777" w:rsidR="00761F3C" w:rsidRPr="00761F3C" w:rsidRDefault="00761F3C" w:rsidP="00761F3C">
      <w:pPr>
        <w:spacing w:after="0" w:line="240" w:lineRule="auto"/>
        <w:outlineLvl w:val="2"/>
        <w:rPr>
          <w:rFonts w:ascii="Arial" w:eastAsia="Times New Roman" w:hAnsi="Arial" w:cs="Arial"/>
          <w:color w:val="2A2A2A"/>
          <w:sz w:val="24"/>
          <w:szCs w:val="24"/>
          <w:lang w:eastAsia="es-ES"/>
        </w:rPr>
      </w:pPr>
      <w:r w:rsidRPr="00761F3C">
        <w:rPr>
          <w:rFonts w:ascii="Arial" w:eastAsia="Times New Roman" w:hAnsi="Arial" w:cs="Arial"/>
          <w:color w:val="2A2A2A"/>
          <w:sz w:val="24"/>
          <w:szCs w:val="24"/>
          <w:lang w:eastAsia="es-ES"/>
        </w:rPr>
        <w:fldChar w:fldCharType="end"/>
      </w:r>
    </w:p>
    <w:p w14:paraId="5969DD01" w14:textId="77777777" w:rsidR="00761F3C" w:rsidRPr="00761F3C" w:rsidRDefault="00761F3C" w:rsidP="00761F3C">
      <w:pPr>
        <w:spacing w:after="0" w:line="240" w:lineRule="auto"/>
        <w:rPr>
          <w:rFonts w:ascii="Arial" w:eastAsia="Times New Roman" w:hAnsi="Arial" w:cs="Arial"/>
          <w:color w:val="2A2A2A"/>
          <w:sz w:val="24"/>
          <w:szCs w:val="24"/>
          <w:lang w:eastAsia="es-ES"/>
        </w:rPr>
      </w:pPr>
      <w:r w:rsidRPr="00761F3C">
        <w:rPr>
          <w:rFonts w:ascii="Arial" w:eastAsia="Times New Roman" w:hAnsi="Arial" w:cs="Arial"/>
          <w:color w:val="2A2A2A"/>
          <w:sz w:val="24"/>
          <w:szCs w:val="24"/>
          <w:shd w:val="clear" w:color="auto" w:fill="C9D7F1"/>
          <w:lang w:eastAsia="es-ES"/>
        </w:rPr>
        <w:t>Disminuye la secreción de ácido gástrico al inhibir la bomba H </w:t>
      </w:r>
      <w:r w:rsidRPr="00761F3C">
        <w:rPr>
          <w:rFonts w:ascii="Arial" w:eastAsia="Times New Roman" w:hAnsi="Arial" w:cs="Arial"/>
          <w:color w:val="2A2A2A"/>
          <w:sz w:val="24"/>
          <w:szCs w:val="24"/>
          <w:shd w:val="clear" w:color="auto" w:fill="C9D7F1"/>
          <w:vertAlign w:val="superscript"/>
          <w:lang w:eastAsia="es-ES"/>
        </w:rPr>
        <w:t>+</w:t>
      </w:r>
      <w:r w:rsidRPr="00761F3C">
        <w:rPr>
          <w:rFonts w:ascii="Arial" w:eastAsia="Times New Roman" w:hAnsi="Arial" w:cs="Arial"/>
          <w:color w:val="2A2A2A"/>
          <w:sz w:val="24"/>
          <w:szCs w:val="24"/>
          <w:shd w:val="clear" w:color="auto" w:fill="C9D7F1"/>
          <w:lang w:eastAsia="es-ES"/>
        </w:rPr>
        <w:t> /K </w:t>
      </w:r>
      <w:r w:rsidRPr="00761F3C">
        <w:rPr>
          <w:rFonts w:ascii="Arial" w:eastAsia="Times New Roman" w:hAnsi="Arial" w:cs="Arial"/>
          <w:color w:val="2A2A2A"/>
          <w:sz w:val="24"/>
          <w:szCs w:val="24"/>
          <w:shd w:val="clear" w:color="auto" w:fill="C9D7F1"/>
          <w:vertAlign w:val="superscript"/>
          <w:lang w:eastAsia="es-ES"/>
        </w:rPr>
        <w:t>+</w:t>
      </w:r>
      <w:r w:rsidRPr="00761F3C">
        <w:rPr>
          <w:rFonts w:ascii="Arial" w:eastAsia="Times New Roman" w:hAnsi="Arial" w:cs="Arial"/>
          <w:color w:val="2A2A2A"/>
          <w:sz w:val="24"/>
          <w:szCs w:val="24"/>
          <w:shd w:val="clear" w:color="auto" w:fill="C9D7F1"/>
          <w:lang w:eastAsia="es-ES"/>
        </w:rPr>
        <w:t> -ATP de las células parietales.</w:t>
      </w:r>
    </w:p>
    <w:p w14:paraId="4D505B56" w14:textId="77777777" w:rsidR="00761F3C" w:rsidRPr="00EC6732" w:rsidRDefault="00761F3C" w:rsidP="001D5E7D">
      <w:pPr>
        <w:spacing w:after="0" w:line="240" w:lineRule="auto"/>
        <w:rPr>
          <w:rFonts w:ascii="Arial" w:eastAsia="Times New Roman" w:hAnsi="Arial" w:cs="Arial"/>
          <w:color w:val="2A2A2A"/>
          <w:sz w:val="24"/>
          <w:szCs w:val="24"/>
          <w:lang w:eastAsia="es-ES"/>
        </w:rPr>
      </w:pPr>
    </w:p>
    <w:p w14:paraId="1ECCC245" w14:textId="77777777" w:rsidR="007D248E" w:rsidRPr="007D248E" w:rsidRDefault="007D248E" w:rsidP="007D248E">
      <w:pPr>
        <w:spacing w:after="0" w:line="240" w:lineRule="auto"/>
        <w:outlineLvl w:val="1"/>
        <w:rPr>
          <w:rFonts w:ascii="Arial" w:eastAsia="Times New Roman" w:hAnsi="Arial" w:cs="Arial"/>
          <w:color w:val="2A2A2A"/>
          <w:sz w:val="24"/>
          <w:szCs w:val="24"/>
          <w:lang w:eastAsia="es-ES"/>
        </w:rPr>
      </w:pPr>
      <w:r w:rsidRPr="007D248E">
        <w:rPr>
          <w:rFonts w:ascii="Arial" w:eastAsia="Times New Roman" w:hAnsi="Arial" w:cs="Arial"/>
          <w:color w:val="2A2A2A"/>
          <w:sz w:val="24"/>
          <w:szCs w:val="24"/>
          <w:lang w:eastAsia="es-ES"/>
        </w:rPr>
        <w:t>bloqueadores de los receptores H2</w:t>
      </w:r>
    </w:p>
    <w:p w14:paraId="3045843E" w14:textId="77777777" w:rsidR="007D248E" w:rsidRPr="007D248E" w:rsidRDefault="007D248E" w:rsidP="007D248E">
      <w:pPr>
        <w:spacing w:after="0" w:line="240" w:lineRule="auto"/>
        <w:outlineLvl w:val="1"/>
        <w:rPr>
          <w:rFonts w:ascii="Arial" w:eastAsia="Times New Roman" w:hAnsi="Arial" w:cs="Arial"/>
          <w:color w:val="2A2A2A"/>
          <w:sz w:val="24"/>
          <w:szCs w:val="24"/>
          <w:lang w:eastAsia="es-ES"/>
        </w:rPr>
      </w:pPr>
      <w:r w:rsidRPr="007D248E">
        <w:rPr>
          <w:rFonts w:ascii="Arial" w:eastAsia="Times New Roman" w:hAnsi="Arial" w:cs="Arial"/>
          <w:color w:val="2A2A2A"/>
          <w:sz w:val="24"/>
          <w:szCs w:val="24"/>
          <w:lang w:eastAsia="es-ES"/>
        </w:rPr>
        <w:t>Resumen de clase</w:t>
      </w:r>
    </w:p>
    <w:p w14:paraId="75EF1AAF" w14:textId="77777777" w:rsidR="007D248E" w:rsidRPr="007D248E" w:rsidRDefault="007D248E" w:rsidP="007D248E">
      <w:pPr>
        <w:spacing w:after="0" w:line="240" w:lineRule="auto"/>
        <w:rPr>
          <w:rFonts w:ascii="Arial" w:eastAsia="Times New Roman" w:hAnsi="Arial" w:cs="Arial"/>
          <w:color w:val="2A2A2A"/>
          <w:sz w:val="24"/>
          <w:szCs w:val="24"/>
          <w:lang w:eastAsia="es-ES"/>
        </w:rPr>
      </w:pPr>
      <w:r w:rsidRPr="007D248E">
        <w:rPr>
          <w:rFonts w:ascii="Arial" w:eastAsia="Times New Roman" w:hAnsi="Arial" w:cs="Arial"/>
          <w:color w:val="2A2A2A"/>
          <w:sz w:val="24"/>
          <w:szCs w:val="24"/>
          <w:lang w:eastAsia="es-ES"/>
        </w:rPr>
        <w:t>Bloqueadores competitivos reversibles de la histamina en los receptores H2, en particular los de las células parietales gástricas, en los que inhiben la secreción de ácido. Los antagonistas H2 son muy selectivos, no afectan a los receptores H1 y no son agentes anticolinérgicos. Generalmente se prefieren los inhibidores de la bomba de protones.</w:t>
      </w:r>
    </w:p>
    <w:p w14:paraId="70DF9572" w14:textId="77777777" w:rsidR="007D248E" w:rsidRPr="00EC6732" w:rsidRDefault="007D248E" w:rsidP="007D248E">
      <w:pPr>
        <w:spacing w:before="167" w:after="167" w:line="240" w:lineRule="auto"/>
        <w:outlineLvl w:val="2"/>
        <w:rPr>
          <w:rFonts w:ascii="Times New Roman" w:eastAsia="Times New Roman" w:hAnsi="Times New Roman" w:cs="Times New Roman"/>
          <w:color w:val="007CB0"/>
          <w:sz w:val="24"/>
          <w:szCs w:val="24"/>
          <w:lang w:eastAsia="es-ES"/>
        </w:rPr>
      </w:pPr>
      <w:r w:rsidRPr="007D248E">
        <w:rPr>
          <w:rFonts w:ascii="Arial" w:eastAsia="Times New Roman" w:hAnsi="Arial" w:cs="Arial"/>
          <w:color w:val="2A2A2A"/>
          <w:sz w:val="24"/>
          <w:szCs w:val="24"/>
          <w:lang w:eastAsia="es-ES"/>
        </w:rPr>
        <w:fldChar w:fldCharType="begin"/>
      </w:r>
      <w:r w:rsidRPr="007D248E">
        <w:rPr>
          <w:rFonts w:ascii="Arial" w:eastAsia="Times New Roman" w:hAnsi="Arial" w:cs="Arial"/>
          <w:color w:val="2A2A2A"/>
          <w:sz w:val="24"/>
          <w:szCs w:val="24"/>
          <w:lang w:eastAsia="es-ES"/>
        </w:rPr>
        <w:instrText xml:space="preserve"> HYPERLINK "http://reference.medscape.com/drug/zantac-ranitidine-342003" </w:instrText>
      </w:r>
      <w:r w:rsidRPr="007D248E">
        <w:rPr>
          <w:rFonts w:ascii="Arial" w:eastAsia="Times New Roman" w:hAnsi="Arial" w:cs="Arial"/>
          <w:color w:val="2A2A2A"/>
          <w:sz w:val="24"/>
          <w:szCs w:val="24"/>
          <w:lang w:eastAsia="es-ES"/>
        </w:rPr>
      </w:r>
      <w:r w:rsidRPr="007D248E">
        <w:rPr>
          <w:rFonts w:ascii="Arial" w:eastAsia="Times New Roman" w:hAnsi="Arial" w:cs="Arial"/>
          <w:color w:val="2A2A2A"/>
          <w:sz w:val="24"/>
          <w:szCs w:val="24"/>
          <w:lang w:eastAsia="es-ES"/>
        </w:rPr>
        <w:fldChar w:fldCharType="separate"/>
      </w:r>
    </w:p>
    <w:p w14:paraId="4C752994" w14:textId="77777777" w:rsidR="007D248E" w:rsidRPr="007D248E" w:rsidRDefault="007D248E" w:rsidP="007D248E">
      <w:pPr>
        <w:spacing w:after="0" w:line="240" w:lineRule="auto"/>
        <w:outlineLvl w:val="1"/>
        <w:rPr>
          <w:rFonts w:ascii="Times New Roman" w:eastAsia="Times New Roman" w:hAnsi="Times New Roman" w:cs="Times New Roman"/>
          <w:b/>
          <w:bCs/>
          <w:color w:val="2A2A2A"/>
          <w:sz w:val="24"/>
          <w:szCs w:val="24"/>
          <w:lang w:eastAsia="es-ES"/>
        </w:rPr>
      </w:pPr>
      <w:r w:rsidRPr="007D248E">
        <w:rPr>
          <w:rFonts w:ascii="Arial" w:eastAsia="Times New Roman" w:hAnsi="Arial" w:cs="Arial"/>
          <w:color w:val="2A2A2A"/>
          <w:sz w:val="24"/>
          <w:szCs w:val="24"/>
          <w:lang w:eastAsia="es-ES"/>
        </w:rPr>
        <w:t>Ranitidina (Zantac)</w:t>
      </w:r>
    </w:p>
    <w:p w14:paraId="45C8F3A6" w14:textId="77777777" w:rsidR="007D248E" w:rsidRPr="007D248E" w:rsidRDefault="007D248E" w:rsidP="007D248E">
      <w:pPr>
        <w:spacing w:after="0" w:line="240" w:lineRule="auto"/>
        <w:outlineLvl w:val="2"/>
        <w:rPr>
          <w:rFonts w:ascii="Arial" w:eastAsia="Times New Roman" w:hAnsi="Arial" w:cs="Arial"/>
          <w:color w:val="2A2A2A"/>
          <w:sz w:val="24"/>
          <w:szCs w:val="24"/>
          <w:lang w:eastAsia="es-ES"/>
        </w:rPr>
      </w:pPr>
      <w:r w:rsidRPr="007D248E">
        <w:rPr>
          <w:rFonts w:ascii="Arial" w:eastAsia="Times New Roman" w:hAnsi="Arial" w:cs="Arial"/>
          <w:color w:val="2A2A2A"/>
          <w:sz w:val="24"/>
          <w:szCs w:val="24"/>
          <w:lang w:eastAsia="es-ES"/>
        </w:rPr>
        <w:fldChar w:fldCharType="end"/>
      </w:r>
    </w:p>
    <w:p w14:paraId="4937FBD3" w14:textId="77777777" w:rsidR="007D248E" w:rsidRPr="007D248E" w:rsidRDefault="007D248E" w:rsidP="007D248E">
      <w:pPr>
        <w:spacing w:after="0" w:line="240" w:lineRule="auto"/>
        <w:rPr>
          <w:rFonts w:ascii="Arial" w:eastAsia="Times New Roman" w:hAnsi="Arial" w:cs="Arial"/>
          <w:color w:val="2A2A2A"/>
          <w:sz w:val="24"/>
          <w:szCs w:val="24"/>
          <w:lang w:eastAsia="es-ES"/>
        </w:rPr>
      </w:pPr>
      <w:r w:rsidRPr="007D248E">
        <w:rPr>
          <w:rFonts w:ascii="Arial" w:eastAsia="Times New Roman" w:hAnsi="Arial" w:cs="Arial"/>
          <w:color w:val="2A2A2A"/>
          <w:sz w:val="24"/>
          <w:szCs w:val="24"/>
          <w:lang w:eastAsia="es-ES"/>
        </w:rPr>
        <w:t>Reduce la secreción de ácido gástrico basal y nocturna mediante la inhibición competitiva de la unión de la histamina a los receptores (receptor H2) en las células parietales gástricas. Aunque no es eficaz como agente único para la erradicación de </w:t>
      </w:r>
      <w:r w:rsidRPr="00EC6732">
        <w:rPr>
          <w:rFonts w:ascii="Arial" w:eastAsia="Times New Roman" w:hAnsi="Arial" w:cs="Arial"/>
          <w:i/>
          <w:iCs/>
          <w:color w:val="2A2A2A"/>
          <w:sz w:val="24"/>
          <w:szCs w:val="24"/>
          <w:lang w:eastAsia="es-ES"/>
        </w:rPr>
        <w:t xml:space="preserve">H. </w:t>
      </w:r>
      <w:proofErr w:type="gramStart"/>
      <w:r w:rsidRPr="00EC6732">
        <w:rPr>
          <w:rFonts w:ascii="Arial" w:eastAsia="Times New Roman" w:hAnsi="Arial" w:cs="Arial"/>
          <w:i/>
          <w:iCs/>
          <w:color w:val="2A2A2A"/>
          <w:sz w:val="24"/>
          <w:szCs w:val="24"/>
          <w:lang w:eastAsia="es-ES"/>
        </w:rPr>
        <w:t>pylori</w:t>
      </w:r>
      <w:r w:rsidRPr="007D248E">
        <w:rPr>
          <w:rFonts w:ascii="Arial" w:eastAsia="Times New Roman" w:hAnsi="Arial" w:cs="Arial"/>
          <w:color w:val="2A2A2A"/>
          <w:sz w:val="24"/>
          <w:szCs w:val="24"/>
          <w:lang w:eastAsia="es-ES"/>
        </w:rPr>
        <w:t> ,</w:t>
      </w:r>
      <w:proofErr w:type="gramEnd"/>
      <w:r w:rsidRPr="007D248E">
        <w:rPr>
          <w:rFonts w:ascii="Arial" w:eastAsia="Times New Roman" w:hAnsi="Arial" w:cs="Arial"/>
          <w:color w:val="2A2A2A"/>
          <w:sz w:val="24"/>
          <w:szCs w:val="24"/>
          <w:lang w:eastAsia="es-ES"/>
        </w:rPr>
        <w:t xml:space="preserve"> parece aumentar la absorción sistémica del subsalicilato de bismuto.</w:t>
      </w:r>
    </w:p>
    <w:p w14:paraId="03C4A34D" w14:textId="77777777" w:rsidR="007D248E" w:rsidRPr="00EC6732" w:rsidRDefault="007D248E" w:rsidP="007D248E">
      <w:pPr>
        <w:spacing w:before="167" w:after="167" w:line="240" w:lineRule="auto"/>
        <w:outlineLvl w:val="2"/>
        <w:rPr>
          <w:rFonts w:ascii="Times New Roman" w:eastAsia="Times New Roman" w:hAnsi="Times New Roman" w:cs="Times New Roman"/>
          <w:color w:val="007CB0"/>
          <w:sz w:val="24"/>
          <w:szCs w:val="24"/>
          <w:lang w:eastAsia="es-ES"/>
        </w:rPr>
      </w:pPr>
      <w:r w:rsidRPr="007D248E">
        <w:rPr>
          <w:rFonts w:ascii="Arial" w:eastAsia="Times New Roman" w:hAnsi="Arial" w:cs="Arial"/>
          <w:color w:val="2A2A2A"/>
          <w:sz w:val="24"/>
          <w:szCs w:val="24"/>
          <w:lang w:eastAsia="es-ES"/>
        </w:rPr>
        <w:fldChar w:fldCharType="begin"/>
      </w:r>
      <w:r w:rsidRPr="007D248E">
        <w:rPr>
          <w:rFonts w:ascii="Arial" w:eastAsia="Times New Roman" w:hAnsi="Arial" w:cs="Arial"/>
          <w:color w:val="2A2A2A"/>
          <w:sz w:val="24"/>
          <w:szCs w:val="24"/>
          <w:lang w:eastAsia="es-ES"/>
        </w:rPr>
        <w:instrText xml:space="preserve"> HYPERLINK "http://reference.medscape.com/drug/pepcid-ac-zantac-360-famotidine-341989" </w:instrText>
      </w:r>
      <w:r w:rsidRPr="007D248E">
        <w:rPr>
          <w:rFonts w:ascii="Arial" w:eastAsia="Times New Roman" w:hAnsi="Arial" w:cs="Arial"/>
          <w:color w:val="2A2A2A"/>
          <w:sz w:val="24"/>
          <w:szCs w:val="24"/>
          <w:lang w:eastAsia="es-ES"/>
        </w:rPr>
      </w:r>
      <w:r w:rsidRPr="007D248E">
        <w:rPr>
          <w:rFonts w:ascii="Arial" w:eastAsia="Times New Roman" w:hAnsi="Arial" w:cs="Arial"/>
          <w:color w:val="2A2A2A"/>
          <w:sz w:val="24"/>
          <w:szCs w:val="24"/>
          <w:lang w:eastAsia="es-ES"/>
        </w:rPr>
        <w:fldChar w:fldCharType="separate"/>
      </w:r>
    </w:p>
    <w:p w14:paraId="29B965B0" w14:textId="77777777" w:rsidR="007D248E" w:rsidRPr="007D248E" w:rsidRDefault="007D248E" w:rsidP="007D248E">
      <w:pPr>
        <w:spacing w:after="0" w:line="240" w:lineRule="auto"/>
        <w:outlineLvl w:val="1"/>
        <w:rPr>
          <w:rFonts w:ascii="Times New Roman" w:eastAsia="Times New Roman" w:hAnsi="Times New Roman" w:cs="Times New Roman"/>
          <w:b/>
          <w:bCs/>
          <w:color w:val="2A2A2A"/>
          <w:sz w:val="24"/>
          <w:szCs w:val="24"/>
          <w:lang w:eastAsia="es-ES"/>
        </w:rPr>
      </w:pPr>
      <w:r w:rsidRPr="007D248E">
        <w:rPr>
          <w:rFonts w:ascii="Arial" w:eastAsia="Times New Roman" w:hAnsi="Arial" w:cs="Arial"/>
          <w:color w:val="2A2A2A"/>
          <w:sz w:val="24"/>
          <w:szCs w:val="24"/>
          <w:lang w:eastAsia="es-ES"/>
        </w:rPr>
        <w:t>Famotidina (Pepcid)</w:t>
      </w:r>
    </w:p>
    <w:p w14:paraId="487EEAED" w14:textId="77777777" w:rsidR="007D248E" w:rsidRPr="007D248E" w:rsidRDefault="007D248E" w:rsidP="007D248E">
      <w:pPr>
        <w:spacing w:after="0" w:line="240" w:lineRule="auto"/>
        <w:outlineLvl w:val="2"/>
        <w:rPr>
          <w:rFonts w:ascii="Arial" w:eastAsia="Times New Roman" w:hAnsi="Arial" w:cs="Arial"/>
          <w:color w:val="2A2A2A"/>
          <w:sz w:val="24"/>
          <w:szCs w:val="24"/>
          <w:lang w:eastAsia="es-ES"/>
        </w:rPr>
      </w:pPr>
      <w:r w:rsidRPr="007D248E">
        <w:rPr>
          <w:rFonts w:ascii="Arial" w:eastAsia="Times New Roman" w:hAnsi="Arial" w:cs="Arial"/>
          <w:color w:val="2A2A2A"/>
          <w:sz w:val="24"/>
          <w:szCs w:val="24"/>
          <w:lang w:eastAsia="es-ES"/>
        </w:rPr>
        <w:fldChar w:fldCharType="end"/>
      </w:r>
    </w:p>
    <w:p w14:paraId="480765B5" w14:textId="77777777" w:rsidR="007D248E" w:rsidRPr="007D248E" w:rsidRDefault="007D248E" w:rsidP="007D248E">
      <w:pPr>
        <w:spacing w:after="0" w:line="240" w:lineRule="auto"/>
        <w:rPr>
          <w:rFonts w:ascii="Arial" w:eastAsia="Times New Roman" w:hAnsi="Arial" w:cs="Arial"/>
          <w:color w:val="2A2A2A"/>
          <w:sz w:val="24"/>
          <w:szCs w:val="24"/>
          <w:lang w:eastAsia="es-ES"/>
        </w:rPr>
      </w:pPr>
      <w:r w:rsidRPr="007D248E">
        <w:rPr>
          <w:rFonts w:ascii="Arial" w:eastAsia="Times New Roman" w:hAnsi="Arial" w:cs="Arial"/>
          <w:color w:val="2A2A2A"/>
          <w:sz w:val="24"/>
          <w:szCs w:val="24"/>
          <w:shd w:val="clear" w:color="auto" w:fill="C9D7F1"/>
          <w:lang w:eastAsia="es-ES"/>
        </w:rPr>
        <w:t>Inhibe competitivamente la histamina en el receptor H2 de las células parietales gástricas, lo que reduce la secreción de ácido gástrico, el volumen gástrico y las concentraciones de iones de hidrógeno.</w:t>
      </w:r>
    </w:p>
    <w:p w14:paraId="5ED5A1E6" w14:textId="77777777" w:rsidR="007D248E" w:rsidRPr="00EC6732" w:rsidRDefault="007D248E" w:rsidP="001D5E7D">
      <w:pPr>
        <w:spacing w:after="0" w:line="240" w:lineRule="auto"/>
        <w:rPr>
          <w:rFonts w:ascii="Arial" w:eastAsia="Times New Roman" w:hAnsi="Arial" w:cs="Arial"/>
          <w:color w:val="2A2A2A"/>
          <w:sz w:val="24"/>
          <w:szCs w:val="24"/>
          <w:lang w:eastAsia="es-ES"/>
        </w:rPr>
      </w:pPr>
    </w:p>
    <w:p w14:paraId="44B0E9E4" w14:textId="77777777" w:rsidR="002B6504" w:rsidRPr="002B6504" w:rsidRDefault="002B6504" w:rsidP="002B6504">
      <w:pPr>
        <w:spacing w:after="0" w:line="240" w:lineRule="auto"/>
        <w:outlineLvl w:val="1"/>
        <w:rPr>
          <w:rFonts w:ascii="Arial" w:eastAsia="Times New Roman" w:hAnsi="Arial" w:cs="Arial"/>
          <w:color w:val="2A2A2A"/>
          <w:sz w:val="24"/>
          <w:szCs w:val="24"/>
          <w:lang w:eastAsia="es-ES"/>
        </w:rPr>
      </w:pPr>
      <w:r w:rsidRPr="002B6504">
        <w:rPr>
          <w:rFonts w:ascii="Arial" w:eastAsia="Times New Roman" w:hAnsi="Arial" w:cs="Arial"/>
          <w:color w:val="2A2A2A"/>
          <w:sz w:val="24"/>
          <w:szCs w:val="24"/>
          <w:lang w:eastAsia="es-ES"/>
        </w:rPr>
        <w:t>Productos combinados</w:t>
      </w:r>
    </w:p>
    <w:p w14:paraId="5209BAE6" w14:textId="77777777" w:rsidR="002B6504" w:rsidRPr="002B6504" w:rsidRDefault="002B6504" w:rsidP="002B6504">
      <w:pPr>
        <w:spacing w:after="0" w:line="240" w:lineRule="auto"/>
        <w:outlineLvl w:val="1"/>
        <w:rPr>
          <w:rFonts w:ascii="Arial" w:eastAsia="Times New Roman" w:hAnsi="Arial" w:cs="Arial"/>
          <w:color w:val="2A2A2A"/>
          <w:sz w:val="24"/>
          <w:szCs w:val="24"/>
          <w:lang w:eastAsia="es-ES"/>
        </w:rPr>
      </w:pPr>
      <w:r w:rsidRPr="002B6504">
        <w:rPr>
          <w:rFonts w:ascii="Arial" w:eastAsia="Times New Roman" w:hAnsi="Arial" w:cs="Arial"/>
          <w:color w:val="2A2A2A"/>
          <w:sz w:val="24"/>
          <w:szCs w:val="24"/>
          <w:lang w:eastAsia="es-ES"/>
        </w:rPr>
        <w:t>Resumen de clase</w:t>
      </w:r>
    </w:p>
    <w:p w14:paraId="5A53F90C" w14:textId="77777777" w:rsidR="002B6504" w:rsidRPr="002B6504" w:rsidRDefault="002B6504" w:rsidP="002B6504">
      <w:pPr>
        <w:spacing w:after="0" w:line="240" w:lineRule="auto"/>
        <w:rPr>
          <w:rFonts w:ascii="Arial" w:eastAsia="Times New Roman" w:hAnsi="Arial" w:cs="Arial"/>
          <w:color w:val="2A2A2A"/>
          <w:sz w:val="24"/>
          <w:szCs w:val="24"/>
          <w:lang w:eastAsia="es-ES"/>
        </w:rPr>
      </w:pPr>
      <w:r w:rsidRPr="002B6504">
        <w:rPr>
          <w:rFonts w:ascii="Arial" w:eastAsia="Times New Roman" w:hAnsi="Arial" w:cs="Arial"/>
          <w:color w:val="2A2A2A"/>
          <w:sz w:val="24"/>
          <w:szCs w:val="24"/>
          <w:lang w:eastAsia="es-ES"/>
        </w:rPr>
        <w:t>Las combinaciones permiten una fácil administración y promueven una mayor adherencia del paciente.</w:t>
      </w:r>
    </w:p>
    <w:p w14:paraId="628625FC" w14:textId="77777777" w:rsidR="002B6504" w:rsidRPr="00EC6732" w:rsidRDefault="002B6504" w:rsidP="002B6504">
      <w:pPr>
        <w:spacing w:before="167" w:after="167" w:line="240" w:lineRule="auto"/>
        <w:outlineLvl w:val="2"/>
        <w:rPr>
          <w:rFonts w:ascii="Times New Roman" w:eastAsia="Times New Roman" w:hAnsi="Times New Roman" w:cs="Times New Roman"/>
          <w:color w:val="007CB0"/>
          <w:sz w:val="24"/>
          <w:szCs w:val="24"/>
          <w:lang w:eastAsia="es-ES"/>
        </w:rPr>
      </w:pPr>
      <w:r w:rsidRPr="002B6504">
        <w:rPr>
          <w:rFonts w:ascii="Arial" w:eastAsia="Times New Roman" w:hAnsi="Arial" w:cs="Arial"/>
          <w:color w:val="2A2A2A"/>
          <w:sz w:val="24"/>
          <w:szCs w:val="24"/>
          <w:lang w:eastAsia="es-ES"/>
        </w:rPr>
        <w:fldChar w:fldCharType="begin"/>
      </w:r>
      <w:r w:rsidRPr="002B6504">
        <w:rPr>
          <w:rFonts w:ascii="Arial" w:eastAsia="Times New Roman" w:hAnsi="Arial" w:cs="Arial"/>
          <w:color w:val="2A2A2A"/>
          <w:sz w:val="24"/>
          <w:szCs w:val="24"/>
          <w:lang w:eastAsia="es-ES"/>
        </w:rPr>
        <w:instrText xml:space="preserve"> HYPERLINK "http://reference.medscape.com/drug/amoxicillin-omeprazole-rifabutin-4000001" </w:instrText>
      </w:r>
      <w:r w:rsidRPr="002B6504">
        <w:rPr>
          <w:rFonts w:ascii="Arial" w:eastAsia="Times New Roman" w:hAnsi="Arial" w:cs="Arial"/>
          <w:color w:val="2A2A2A"/>
          <w:sz w:val="24"/>
          <w:szCs w:val="24"/>
          <w:lang w:eastAsia="es-ES"/>
        </w:rPr>
      </w:r>
      <w:r w:rsidRPr="002B6504">
        <w:rPr>
          <w:rFonts w:ascii="Arial" w:eastAsia="Times New Roman" w:hAnsi="Arial" w:cs="Arial"/>
          <w:color w:val="2A2A2A"/>
          <w:sz w:val="24"/>
          <w:szCs w:val="24"/>
          <w:lang w:eastAsia="es-ES"/>
        </w:rPr>
        <w:fldChar w:fldCharType="separate"/>
      </w:r>
    </w:p>
    <w:p w14:paraId="4F6C3293" w14:textId="77777777" w:rsidR="002B6504" w:rsidRPr="002B6504" w:rsidRDefault="002B6504" w:rsidP="002B6504">
      <w:pPr>
        <w:spacing w:after="0" w:line="240" w:lineRule="auto"/>
        <w:outlineLvl w:val="1"/>
        <w:rPr>
          <w:rFonts w:ascii="Times New Roman" w:eastAsia="Times New Roman" w:hAnsi="Times New Roman" w:cs="Times New Roman"/>
          <w:b/>
          <w:bCs/>
          <w:color w:val="2A2A2A"/>
          <w:sz w:val="24"/>
          <w:szCs w:val="24"/>
          <w:lang w:eastAsia="es-ES"/>
        </w:rPr>
      </w:pPr>
      <w:r w:rsidRPr="002B6504">
        <w:rPr>
          <w:rFonts w:ascii="Arial" w:eastAsia="Times New Roman" w:hAnsi="Arial" w:cs="Arial"/>
          <w:color w:val="2A2A2A"/>
          <w:sz w:val="24"/>
          <w:szCs w:val="24"/>
          <w:lang w:eastAsia="es-ES"/>
        </w:rPr>
        <w:t>Amoxicilina/omeprazol/rifabutina (Talicia)</w:t>
      </w:r>
    </w:p>
    <w:p w14:paraId="04DD1F2D" w14:textId="77777777" w:rsidR="002B6504" w:rsidRPr="002B6504" w:rsidRDefault="002B6504" w:rsidP="002B6504">
      <w:pPr>
        <w:spacing w:after="0" w:line="240" w:lineRule="auto"/>
        <w:outlineLvl w:val="2"/>
        <w:rPr>
          <w:rFonts w:ascii="Arial" w:eastAsia="Times New Roman" w:hAnsi="Arial" w:cs="Arial"/>
          <w:color w:val="2A2A2A"/>
          <w:sz w:val="24"/>
          <w:szCs w:val="24"/>
          <w:lang w:eastAsia="es-ES"/>
        </w:rPr>
      </w:pPr>
      <w:r w:rsidRPr="002B6504">
        <w:rPr>
          <w:rFonts w:ascii="Arial" w:eastAsia="Times New Roman" w:hAnsi="Arial" w:cs="Arial"/>
          <w:color w:val="2A2A2A"/>
          <w:sz w:val="24"/>
          <w:szCs w:val="24"/>
          <w:lang w:eastAsia="es-ES"/>
        </w:rPr>
        <w:fldChar w:fldCharType="end"/>
      </w:r>
    </w:p>
    <w:p w14:paraId="3201B8CC" w14:textId="77777777" w:rsidR="002B6504" w:rsidRPr="002B6504" w:rsidRDefault="002B6504" w:rsidP="002B6504">
      <w:pPr>
        <w:spacing w:after="0" w:line="240" w:lineRule="auto"/>
        <w:rPr>
          <w:rFonts w:ascii="Arial" w:eastAsia="Times New Roman" w:hAnsi="Arial" w:cs="Arial"/>
          <w:color w:val="2A2A2A"/>
          <w:sz w:val="24"/>
          <w:szCs w:val="24"/>
          <w:lang w:eastAsia="es-ES"/>
        </w:rPr>
      </w:pPr>
      <w:r w:rsidRPr="002B6504">
        <w:rPr>
          <w:rFonts w:ascii="Arial" w:eastAsia="Times New Roman" w:hAnsi="Arial" w:cs="Arial"/>
          <w:color w:val="2A2A2A"/>
          <w:sz w:val="24"/>
          <w:szCs w:val="24"/>
          <w:lang w:eastAsia="es-ES"/>
        </w:rPr>
        <w:t>Las cápsulas combinadas de liberación retardada contienen amoxicilina, omeprazol y rifabutina y se administran cada 8 h. Está indicado para el tratamiento de la infección por H. pylori en adultos.</w:t>
      </w:r>
    </w:p>
    <w:p w14:paraId="071B2D79" w14:textId="77777777" w:rsidR="002B6504" w:rsidRPr="00EC6732" w:rsidRDefault="002B6504" w:rsidP="002B6504">
      <w:pPr>
        <w:spacing w:before="167" w:after="167" w:line="240" w:lineRule="auto"/>
        <w:outlineLvl w:val="2"/>
        <w:rPr>
          <w:rFonts w:ascii="Times New Roman" w:eastAsia="Times New Roman" w:hAnsi="Times New Roman" w:cs="Times New Roman"/>
          <w:color w:val="007CB0"/>
          <w:sz w:val="24"/>
          <w:szCs w:val="24"/>
          <w:lang w:eastAsia="es-ES"/>
        </w:rPr>
      </w:pPr>
      <w:r w:rsidRPr="002B6504">
        <w:rPr>
          <w:rFonts w:ascii="Arial" w:eastAsia="Times New Roman" w:hAnsi="Arial" w:cs="Arial"/>
          <w:color w:val="2A2A2A"/>
          <w:sz w:val="24"/>
          <w:szCs w:val="24"/>
          <w:lang w:eastAsia="es-ES"/>
        </w:rPr>
        <w:fldChar w:fldCharType="begin"/>
      </w:r>
      <w:r w:rsidRPr="002B6504">
        <w:rPr>
          <w:rFonts w:ascii="Arial" w:eastAsia="Times New Roman" w:hAnsi="Arial" w:cs="Arial"/>
          <w:color w:val="2A2A2A"/>
          <w:sz w:val="24"/>
          <w:szCs w:val="24"/>
          <w:lang w:eastAsia="es-ES"/>
        </w:rPr>
        <w:instrText xml:space="preserve"> HYPERLINK "http://reference.medscape.com/drug/prevpac-lansoprazole-amoxicillin-clarithromycin-999477" </w:instrText>
      </w:r>
      <w:r w:rsidRPr="002B6504">
        <w:rPr>
          <w:rFonts w:ascii="Arial" w:eastAsia="Times New Roman" w:hAnsi="Arial" w:cs="Arial"/>
          <w:color w:val="2A2A2A"/>
          <w:sz w:val="24"/>
          <w:szCs w:val="24"/>
          <w:lang w:eastAsia="es-ES"/>
        </w:rPr>
      </w:r>
      <w:r w:rsidRPr="002B6504">
        <w:rPr>
          <w:rFonts w:ascii="Arial" w:eastAsia="Times New Roman" w:hAnsi="Arial" w:cs="Arial"/>
          <w:color w:val="2A2A2A"/>
          <w:sz w:val="24"/>
          <w:szCs w:val="24"/>
          <w:lang w:eastAsia="es-ES"/>
        </w:rPr>
        <w:fldChar w:fldCharType="separate"/>
      </w:r>
    </w:p>
    <w:p w14:paraId="38AC39BF" w14:textId="77777777" w:rsidR="002B6504" w:rsidRPr="002B6504" w:rsidRDefault="002B6504" w:rsidP="002B6504">
      <w:pPr>
        <w:spacing w:after="0" w:line="240" w:lineRule="auto"/>
        <w:outlineLvl w:val="1"/>
        <w:rPr>
          <w:rFonts w:ascii="Times New Roman" w:eastAsia="Times New Roman" w:hAnsi="Times New Roman" w:cs="Times New Roman"/>
          <w:b/>
          <w:bCs/>
          <w:color w:val="2A2A2A"/>
          <w:sz w:val="24"/>
          <w:szCs w:val="24"/>
          <w:lang w:eastAsia="es-ES"/>
        </w:rPr>
      </w:pPr>
      <w:r w:rsidRPr="002B6504">
        <w:rPr>
          <w:rFonts w:ascii="Arial" w:eastAsia="Times New Roman" w:hAnsi="Arial" w:cs="Arial"/>
          <w:color w:val="2A2A2A"/>
          <w:sz w:val="24"/>
          <w:szCs w:val="24"/>
          <w:lang w:eastAsia="es-ES"/>
        </w:rPr>
        <w:lastRenderedPageBreak/>
        <w:t>Lansoprazol/amoxicilina/claritromicina (Prevpac)</w:t>
      </w:r>
    </w:p>
    <w:p w14:paraId="42303678" w14:textId="77777777" w:rsidR="002B6504" w:rsidRPr="002B6504" w:rsidRDefault="002B6504" w:rsidP="002B6504">
      <w:pPr>
        <w:spacing w:after="0" w:line="240" w:lineRule="auto"/>
        <w:outlineLvl w:val="2"/>
        <w:rPr>
          <w:rFonts w:ascii="Arial" w:eastAsia="Times New Roman" w:hAnsi="Arial" w:cs="Arial"/>
          <w:color w:val="2A2A2A"/>
          <w:sz w:val="24"/>
          <w:szCs w:val="24"/>
          <w:lang w:eastAsia="es-ES"/>
        </w:rPr>
      </w:pPr>
      <w:r w:rsidRPr="002B6504">
        <w:rPr>
          <w:rFonts w:ascii="Arial" w:eastAsia="Times New Roman" w:hAnsi="Arial" w:cs="Arial"/>
          <w:color w:val="2A2A2A"/>
          <w:sz w:val="24"/>
          <w:szCs w:val="24"/>
          <w:lang w:eastAsia="es-ES"/>
        </w:rPr>
        <w:fldChar w:fldCharType="end"/>
      </w:r>
    </w:p>
    <w:p w14:paraId="4EA66A84" w14:textId="77777777" w:rsidR="002B6504" w:rsidRPr="002B6504" w:rsidRDefault="002B6504" w:rsidP="002B6504">
      <w:pPr>
        <w:spacing w:after="0" w:line="240" w:lineRule="auto"/>
        <w:rPr>
          <w:rFonts w:ascii="Arial" w:eastAsia="Times New Roman" w:hAnsi="Arial" w:cs="Arial"/>
          <w:color w:val="2A2A2A"/>
          <w:sz w:val="24"/>
          <w:szCs w:val="24"/>
          <w:lang w:eastAsia="es-ES"/>
        </w:rPr>
      </w:pPr>
      <w:r w:rsidRPr="002B6504">
        <w:rPr>
          <w:rFonts w:ascii="Arial" w:eastAsia="Times New Roman" w:hAnsi="Arial" w:cs="Arial"/>
          <w:color w:val="2A2A2A"/>
          <w:sz w:val="24"/>
          <w:szCs w:val="24"/>
          <w:lang w:eastAsia="es-ES"/>
        </w:rPr>
        <w:t>Producto empaquetado que contiene un IBP, un antimicrobiano macrólido y un antibacteriano del tipo de la penicilina en un régimen de dos veces al día. Indicado para la erradicación de H. pylori para reducir el riesgo de recurrencia de úlcera duodenal. </w:t>
      </w:r>
    </w:p>
    <w:p w14:paraId="61512A62" w14:textId="77777777" w:rsidR="002B6504" w:rsidRPr="00EC6732" w:rsidRDefault="002B6504" w:rsidP="002B6504">
      <w:pPr>
        <w:spacing w:before="167" w:after="167" w:line="240" w:lineRule="auto"/>
        <w:outlineLvl w:val="2"/>
        <w:rPr>
          <w:rFonts w:ascii="Times New Roman" w:eastAsia="Times New Roman" w:hAnsi="Times New Roman" w:cs="Times New Roman"/>
          <w:color w:val="007CB0"/>
          <w:sz w:val="24"/>
          <w:szCs w:val="24"/>
          <w:lang w:eastAsia="es-ES"/>
        </w:rPr>
      </w:pPr>
      <w:r w:rsidRPr="002B6504">
        <w:rPr>
          <w:rFonts w:ascii="Arial" w:eastAsia="Times New Roman" w:hAnsi="Arial" w:cs="Arial"/>
          <w:color w:val="2A2A2A"/>
          <w:sz w:val="24"/>
          <w:szCs w:val="24"/>
          <w:lang w:eastAsia="es-ES"/>
        </w:rPr>
        <w:fldChar w:fldCharType="begin"/>
      </w:r>
      <w:r w:rsidRPr="002B6504">
        <w:rPr>
          <w:rFonts w:ascii="Arial" w:eastAsia="Times New Roman" w:hAnsi="Arial" w:cs="Arial"/>
          <w:color w:val="2A2A2A"/>
          <w:sz w:val="24"/>
          <w:szCs w:val="24"/>
          <w:lang w:eastAsia="es-ES"/>
        </w:rPr>
        <w:instrText xml:space="preserve"> HYPERLINK "http://reference.medscape.com/drug/omeclamox-pak-omeprazole-amoxicillin-clarithromycin-999746" </w:instrText>
      </w:r>
      <w:r w:rsidRPr="002B6504">
        <w:rPr>
          <w:rFonts w:ascii="Arial" w:eastAsia="Times New Roman" w:hAnsi="Arial" w:cs="Arial"/>
          <w:color w:val="2A2A2A"/>
          <w:sz w:val="24"/>
          <w:szCs w:val="24"/>
          <w:lang w:eastAsia="es-ES"/>
        </w:rPr>
      </w:r>
      <w:r w:rsidRPr="002B6504">
        <w:rPr>
          <w:rFonts w:ascii="Arial" w:eastAsia="Times New Roman" w:hAnsi="Arial" w:cs="Arial"/>
          <w:color w:val="2A2A2A"/>
          <w:sz w:val="24"/>
          <w:szCs w:val="24"/>
          <w:lang w:eastAsia="es-ES"/>
        </w:rPr>
        <w:fldChar w:fldCharType="separate"/>
      </w:r>
    </w:p>
    <w:p w14:paraId="01D3E90B" w14:textId="77777777" w:rsidR="002B6504" w:rsidRPr="002B6504" w:rsidRDefault="002B6504" w:rsidP="002B6504">
      <w:pPr>
        <w:spacing w:after="0" w:line="240" w:lineRule="auto"/>
        <w:outlineLvl w:val="1"/>
        <w:rPr>
          <w:rFonts w:ascii="Times New Roman" w:eastAsia="Times New Roman" w:hAnsi="Times New Roman" w:cs="Times New Roman"/>
          <w:b/>
          <w:bCs/>
          <w:color w:val="2A2A2A"/>
          <w:sz w:val="24"/>
          <w:szCs w:val="24"/>
          <w:lang w:eastAsia="es-ES"/>
        </w:rPr>
      </w:pPr>
      <w:r w:rsidRPr="002B6504">
        <w:rPr>
          <w:rFonts w:ascii="Arial" w:eastAsia="Times New Roman" w:hAnsi="Arial" w:cs="Arial"/>
          <w:color w:val="2A2A2A"/>
          <w:sz w:val="24"/>
          <w:szCs w:val="24"/>
          <w:lang w:eastAsia="es-ES"/>
        </w:rPr>
        <w:t>Omeprazol/amoxicilina/claritromicina (Omeclamox-Pak)</w:t>
      </w:r>
    </w:p>
    <w:p w14:paraId="399FECA4" w14:textId="77777777" w:rsidR="002B6504" w:rsidRPr="002B6504" w:rsidRDefault="002B6504" w:rsidP="002B6504">
      <w:pPr>
        <w:spacing w:after="0" w:line="240" w:lineRule="auto"/>
        <w:outlineLvl w:val="2"/>
        <w:rPr>
          <w:rFonts w:ascii="Arial" w:eastAsia="Times New Roman" w:hAnsi="Arial" w:cs="Arial"/>
          <w:color w:val="2A2A2A"/>
          <w:sz w:val="24"/>
          <w:szCs w:val="24"/>
          <w:lang w:eastAsia="es-ES"/>
        </w:rPr>
      </w:pPr>
      <w:r w:rsidRPr="002B6504">
        <w:rPr>
          <w:rFonts w:ascii="Arial" w:eastAsia="Times New Roman" w:hAnsi="Arial" w:cs="Arial"/>
          <w:color w:val="2A2A2A"/>
          <w:sz w:val="24"/>
          <w:szCs w:val="24"/>
          <w:lang w:eastAsia="es-ES"/>
        </w:rPr>
        <w:fldChar w:fldCharType="end"/>
      </w:r>
    </w:p>
    <w:p w14:paraId="47461869" w14:textId="77777777" w:rsidR="002B6504" w:rsidRPr="002B6504" w:rsidRDefault="002B6504" w:rsidP="002B6504">
      <w:pPr>
        <w:spacing w:after="0" w:line="240" w:lineRule="auto"/>
        <w:rPr>
          <w:rFonts w:ascii="Arial" w:eastAsia="Times New Roman" w:hAnsi="Arial" w:cs="Arial"/>
          <w:color w:val="2A2A2A"/>
          <w:sz w:val="24"/>
          <w:szCs w:val="24"/>
          <w:lang w:eastAsia="es-ES"/>
        </w:rPr>
      </w:pPr>
      <w:r w:rsidRPr="002B6504">
        <w:rPr>
          <w:rFonts w:ascii="Arial" w:eastAsia="Times New Roman" w:hAnsi="Arial" w:cs="Arial"/>
          <w:color w:val="2A2A2A"/>
          <w:sz w:val="24"/>
          <w:szCs w:val="24"/>
          <w:lang w:eastAsia="es-ES"/>
        </w:rPr>
        <w:t>Producto envasado que contiene un IBP, un antimicrobiano macrólido y un antibacteriano del tipo penicilina. </w:t>
      </w:r>
      <w:r w:rsidRPr="002B6504">
        <w:rPr>
          <w:rFonts w:ascii="Arial" w:eastAsia="Times New Roman" w:hAnsi="Arial" w:cs="Arial"/>
          <w:color w:val="2A2A2A"/>
          <w:sz w:val="24"/>
          <w:szCs w:val="24"/>
          <w:shd w:val="clear" w:color="auto" w:fill="C9D7F1"/>
          <w:lang w:eastAsia="es-ES"/>
        </w:rPr>
        <w:t>Está indicado para el tratamiento de pacientes con infección por H. pylori y enfermedad de úlcera duodenal (activa o de hasta 1 año de historia) para erradicar H. pylori. </w:t>
      </w:r>
      <w:r w:rsidRPr="002B6504">
        <w:rPr>
          <w:rFonts w:ascii="Arial" w:eastAsia="Times New Roman" w:hAnsi="Arial" w:cs="Arial"/>
          <w:color w:val="2A2A2A"/>
          <w:sz w:val="24"/>
          <w:szCs w:val="24"/>
          <w:lang w:eastAsia="es-ES"/>
        </w:rPr>
        <w:t>Es un régimen de dos veces al día.</w:t>
      </w:r>
    </w:p>
    <w:p w14:paraId="672353E7" w14:textId="77777777" w:rsidR="007D248E" w:rsidRPr="001D5E7D" w:rsidRDefault="007D248E" w:rsidP="001D5E7D">
      <w:pPr>
        <w:spacing w:after="0" w:line="240" w:lineRule="auto"/>
        <w:rPr>
          <w:rFonts w:ascii="Arial" w:eastAsia="Times New Roman" w:hAnsi="Arial" w:cs="Arial"/>
          <w:color w:val="2A2A2A"/>
          <w:sz w:val="24"/>
          <w:szCs w:val="24"/>
          <w:lang w:eastAsia="es-ES"/>
        </w:rPr>
      </w:pPr>
    </w:p>
    <w:p w14:paraId="5156A400" w14:textId="77777777" w:rsidR="005C3A1E" w:rsidRDefault="005C3A1E"/>
    <w:sectPr w:rsidR="005C3A1E" w:rsidSect="005C3A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475"/>
    <w:multiLevelType w:val="multilevel"/>
    <w:tmpl w:val="0DA0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74E2A"/>
    <w:multiLevelType w:val="multilevel"/>
    <w:tmpl w:val="B0C8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601C9"/>
    <w:multiLevelType w:val="multilevel"/>
    <w:tmpl w:val="2B3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E4FC8"/>
    <w:multiLevelType w:val="multilevel"/>
    <w:tmpl w:val="F47A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F5A19"/>
    <w:multiLevelType w:val="multilevel"/>
    <w:tmpl w:val="5128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513C7"/>
    <w:multiLevelType w:val="multilevel"/>
    <w:tmpl w:val="EC6A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45A54"/>
    <w:multiLevelType w:val="multilevel"/>
    <w:tmpl w:val="15C8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0108F"/>
    <w:multiLevelType w:val="multilevel"/>
    <w:tmpl w:val="C17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9505B"/>
    <w:multiLevelType w:val="multilevel"/>
    <w:tmpl w:val="E5F0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34E85"/>
    <w:multiLevelType w:val="multilevel"/>
    <w:tmpl w:val="3200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C2271"/>
    <w:multiLevelType w:val="multilevel"/>
    <w:tmpl w:val="F4C6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C5019"/>
    <w:multiLevelType w:val="multilevel"/>
    <w:tmpl w:val="141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91C38"/>
    <w:multiLevelType w:val="multilevel"/>
    <w:tmpl w:val="7E88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12715"/>
    <w:multiLevelType w:val="multilevel"/>
    <w:tmpl w:val="F962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036AF"/>
    <w:multiLevelType w:val="multilevel"/>
    <w:tmpl w:val="29B8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86461"/>
    <w:multiLevelType w:val="multilevel"/>
    <w:tmpl w:val="51A6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775266"/>
    <w:multiLevelType w:val="multilevel"/>
    <w:tmpl w:val="9218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B752A"/>
    <w:multiLevelType w:val="multilevel"/>
    <w:tmpl w:val="281C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37645"/>
    <w:multiLevelType w:val="multilevel"/>
    <w:tmpl w:val="1F14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973986">
    <w:abstractNumId w:val="2"/>
  </w:num>
  <w:num w:numId="2" w16cid:durableId="725178843">
    <w:abstractNumId w:val="15"/>
  </w:num>
  <w:num w:numId="3" w16cid:durableId="1404795787">
    <w:abstractNumId w:val="6"/>
  </w:num>
  <w:num w:numId="4" w16cid:durableId="915819567">
    <w:abstractNumId w:val="17"/>
  </w:num>
  <w:num w:numId="5" w16cid:durableId="2087992198">
    <w:abstractNumId w:val="9"/>
  </w:num>
  <w:num w:numId="6" w16cid:durableId="87891449">
    <w:abstractNumId w:val="7"/>
  </w:num>
  <w:num w:numId="7" w16cid:durableId="358162199">
    <w:abstractNumId w:val="11"/>
  </w:num>
  <w:num w:numId="8" w16cid:durableId="223495737">
    <w:abstractNumId w:val="10"/>
  </w:num>
  <w:num w:numId="9" w16cid:durableId="881863469">
    <w:abstractNumId w:val="1"/>
  </w:num>
  <w:num w:numId="10" w16cid:durableId="1975014843">
    <w:abstractNumId w:val="16"/>
  </w:num>
  <w:num w:numId="11" w16cid:durableId="1375615439">
    <w:abstractNumId w:val="4"/>
  </w:num>
  <w:num w:numId="12" w16cid:durableId="1484008464">
    <w:abstractNumId w:val="8"/>
  </w:num>
  <w:num w:numId="13" w16cid:durableId="2089304913">
    <w:abstractNumId w:val="5"/>
  </w:num>
  <w:num w:numId="14" w16cid:durableId="567809527">
    <w:abstractNumId w:val="3"/>
  </w:num>
  <w:num w:numId="15" w16cid:durableId="470631852">
    <w:abstractNumId w:val="18"/>
  </w:num>
  <w:num w:numId="16" w16cid:durableId="131143146">
    <w:abstractNumId w:val="12"/>
  </w:num>
  <w:num w:numId="17" w16cid:durableId="1059136100">
    <w:abstractNumId w:val="14"/>
  </w:num>
  <w:num w:numId="18" w16cid:durableId="338430081">
    <w:abstractNumId w:val="0"/>
  </w:num>
  <w:num w:numId="19" w16cid:durableId="1803452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D5E7D"/>
    <w:rsid w:val="001D5E7D"/>
    <w:rsid w:val="002B6504"/>
    <w:rsid w:val="005C3A1E"/>
    <w:rsid w:val="00761F3C"/>
    <w:rsid w:val="007D248E"/>
    <w:rsid w:val="00AE1951"/>
    <w:rsid w:val="00C6546C"/>
    <w:rsid w:val="00D62A1E"/>
    <w:rsid w:val="00EC6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D395"/>
  <w15:docId w15:val="{E2AC18F9-F1CF-4925-B54D-876779D3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A1E"/>
  </w:style>
  <w:style w:type="paragraph" w:styleId="Ttulo1">
    <w:name w:val="heading 1"/>
    <w:basedOn w:val="Normal"/>
    <w:link w:val="Ttulo1Car"/>
    <w:uiPriority w:val="9"/>
    <w:qFormat/>
    <w:rsid w:val="001D5E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D5E7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D5E7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5E7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D5E7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D5E7D"/>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1D5E7D"/>
    <w:rPr>
      <w:color w:val="0000FF"/>
      <w:u w:val="single"/>
    </w:rPr>
  </w:style>
  <w:style w:type="character" w:customStyle="1" w:styleId="like-count">
    <w:name w:val="like-count"/>
    <w:basedOn w:val="Fuentedeprrafopredeter"/>
    <w:rsid w:val="001D5E7D"/>
  </w:style>
  <w:style w:type="paragraph" w:styleId="NormalWeb">
    <w:name w:val="Normal (Web)"/>
    <w:basedOn w:val="Normal"/>
    <w:uiPriority w:val="99"/>
    <w:semiHidden/>
    <w:unhideWhenUsed/>
    <w:rsid w:val="001D5E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D5E7D"/>
    <w:rPr>
      <w:i/>
      <w:iCs/>
    </w:rPr>
  </w:style>
  <w:style w:type="character" w:customStyle="1" w:styleId="capt">
    <w:name w:val="capt"/>
    <w:basedOn w:val="Fuentedeprrafopredeter"/>
    <w:rsid w:val="001D5E7D"/>
  </w:style>
  <w:style w:type="paragraph" w:styleId="Textodeglobo">
    <w:name w:val="Balloon Text"/>
    <w:basedOn w:val="Normal"/>
    <w:link w:val="TextodegloboCar"/>
    <w:uiPriority w:val="99"/>
    <w:semiHidden/>
    <w:unhideWhenUsed/>
    <w:rsid w:val="001D5E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1283">
      <w:bodyDiv w:val="1"/>
      <w:marLeft w:val="0"/>
      <w:marRight w:val="0"/>
      <w:marTop w:val="0"/>
      <w:marBottom w:val="0"/>
      <w:divBdr>
        <w:top w:val="none" w:sz="0" w:space="0" w:color="auto"/>
        <w:left w:val="none" w:sz="0" w:space="0" w:color="auto"/>
        <w:bottom w:val="none" w:sz="0" w:space="0" w:color="auto"/>
        <w:right w:val="none" w:sz="0" w:space="0" w:color="auto"/>
      </w:divBdr>
      <w:divsChild>
        <w:div w:id="987128186">
          <w:marLeft w:val="0"/>
          <w:marRight w:val="0"/>
          <w:marTop w:val="0"/>
          <w:marBottom w:val="0"/>
          <w:divBdr>
            <w:top w:val="none" w:sz="0" w:space="0" w:color="auto"/>
            <w:left w:val="none" w:sz="0" w:space="0" w:color="auto"/>
            <w:bottom w:val="none" w:sz="0" w:space="0" w:color="auto"/>
            <w:right w:val="none" w:sz="0" w:space="0" w:color="auto"/>
          </w:divBdr>
        </w:div>
      </w:divsChild>
    </w:div>
    <w:div w:id="1457135416">
      <w:bodyDiv w:val="1"/>
      <w:marLeft w:val="0"/>
      <w:marRight w:val="0"/>
      <w:marTop w:val="0"/>
      <w:marBottom w:val="0"/>
      <w:divBdr>
        <w:top w:val="none" w:sz="0" w:space="0" w:color="auto"/>
        <w:left w:val="none" w:sz="0" w:space="0" w:color="auto"/>
        <w:bottom w:val="none" w:sz="0" w:space="0" w:color="auto"/>
        <w:right w:val="none" w:sz="0" w:space="0" w:color="auto"/>
      </w:divBdr>
      <w:divsChild>
        <w:div w:id="1299336133">
          <w:marLeft w:val="0"/>
          <w:marRight w:val="0"/>
          <w:marTop w:val="0"/>
          <w:marBottom w:val="0"/>
          <w:divBdr>
            <w:top w:val="none" w:sz="0" w:space="0" w:color="auto"/>
            <w:left w:val="none" w:sz="0" w:space="0" w:color="auto"/>
            <w:bottom w:val="single" w:sz="6" w:space="0" w:color="E6E6E6"/>
            <w:right w:val="none" w:sz="0" w:space="0" w:color="auto"/>
          </w:divBdr>
          <w:divsChild>
            <w:div w:id="242187648">
              <w:marLeft w:val="0"/>
              <w:marRight w:val="0"/>
              <w:marTop w:val="0"/>
              <w:marBottom w:val="0"/>
              <w:divBdr>
                <w:top w:val="none" w:sz="0" w:space="0" w:color="auto"/>
                <w:left w:val="none" w:sz="0" w:space="0" w:color="auto"/>
                <w:bottom w:val="none" w:sz="0" w:space="0" w:color="auto"/>
                <w:right w:val="none" w:sz="0" w:space="0" w:color="auto"/>
              </w:divBdr>
              <w:divsChild>
                <w:div w:id="1151360633">
                  <w:marLeft w:val="0"/>
                  <w:marRight w:val="0"/>
                  <w:marTop w:val="67"/>
                  <w:marBottom w:val="0"/>
                  <w:divBdr>
                    <w:top w:val="none" w:sz="0" w:space="0" w:color="auto"/>
                    <w:left w:val="none" w:sz="0" w:space="0" w:color="auto"/>
                    <w:bottom w:val="none" w:sz="0" w:space="0" w:color="auto"/>
                    <w:right w:val="none" w:sz="0" w:space="0" w:color="auto"/>
                  </w:divBdr>
                  <w:divsChild>
                    <w:div w:id="520358412">
                      <w:marLeft w:val="0"/>
                      <w:marRight w:val="0"/>
                      <w:marTop w:val="0"/>
                      <w:marBottom w:val="0"/>
                      <w:divBdr>
                        <w:top w:val="none" w:sz="0" w:space="0" w:color="auto"/>
                        <w:left w:val="none" w:sz="0" w:space="0" w:color="auto"/>
                        <w:bottom w:val="none" w:sz="0" w:space="0" w:color="auto"/>
                        <w:right w:val="none" w:sz="0" w:space="0" w:color="auto"/>
                      </w:divBdr>
                    </w:div>
                  </w:divsChild>
                </w:div>
                <w:div w:id="225187942">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 w:id="85198721">
          <w:marLeft w:val="0"/>
          <w:marRight w:val="0"/>
          <w:marTop w:val="0"/>
          <w:marBottom w:val="0"/>
          <w:divBdr>
            <w:top w:val="none" w:sz="0" w:space="0" w:color="auto"/>
            <w:left w:val="none" w:sz="0" w:space="0" w:color="auto"/>
            <w:bottom w:val="none" w:sz="0" w:space="0" w:color="auto"/>
            <w:right w:val="none" w:sz="0" w:space="0" w:color="auto"/>
          </w:divBdr>
          <w:divsChild>
            <w:div w:id="1537280464">
              <w:marLeft w:val="0"/>
              <w:marRight w:val="0"/>
              <w:marTop w:val="670"/>
              <w:marBottom w:val="0"/>
              <w:divBdr>
                <w:top w:val="none" w:sz="0" w:space="0" w:color="auto"/>
                <w:left w:val="none" w:sz="0" w:space="0" w:color="auto"/>
                <w:bottom w:val="none" w:sz="0" w:space="0" w:color="auto"/>
                <w:right w:val="none" w:sz="0" w:space="0" w:color="auto"/>
              </w:divBdr>
              <w:divsChild>
                <w:div w:id="997881006">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2058970498">
                          <w:marLeft w:val="0"/>
                          <w:marRight w:val="0"/>
                          <w:marTop w:val="0"/>
                          <w:marBottom w:val="0"/>
                          <w:divBdr>
                            <w:top w:val="none" w:sz="0" w:space="0" w:color="auto"/>
                            <w:left w:val="none" w:sz="0" w:space="0" w:color="auto"/>
                            <w:bottom w:val="none" w:sz="0" w:space="0" w:color="auto"/>
                            <w:right w:val="none" w:sz="0" w:space="0" w:color="auto"/>
                          </w:divBdr>
                          <w:divsChild>
                            <w:div w:id="1082067155">
                              <w:marLeft w:val="0"/>
                              <w:marRight w:val="0"/>
                              <w:marTop w:val="0"/>
                              <w:marBottom w:val="0"/>
                              <w:divBdr>
                                <w:top w:val="none" w:sz="0" w:space="0" w:color="auto"/>
                                <w:left w:val="none" w:sz="0" w:space="0" w:color="auto"/>
                                <w:bottom w:val="none" w:sz="0" w:space="0" w:color="auto"/>
                                <w:right w:val="none" w:sz="0" w:space="0" w:color="auto"/>
                              </w:divBdr>
                              <w:divsChild>
                                <w:div w:id="1824201131">
                                  <w:marLeft w:val="0"/>
                                  <w:marRight w:val="0"/>
                                  <w:marTop w:val="0"/>
                                  <w:marBottom w:val="0"/>
                                  <w:divBdr>
                                    <w:top w:val="none" w:sz="0" w:space="0" w:color="auto"/>
                                    <w:left w:val="none" w:sz="0" w:space="0" w:color="auto"/>
                                    <w:bottom w:val="none" w:sz="0" w:space="0" w:color="auto"/>
                                    <w:right w:val="none" w:sz="0" w:space="0" w:color="auto"/>
                                  </w:divBdr>
                                </w:div>
                              </w:divsChild>
                            </w:div>
                            <w:div w:id="410353451">
                              <w:marLeft w:val="0"/>
                              <w:marRight w:val="0"/>
                              <w:marTop w:val="0"/>
                              <w:marBottom w:val="0"/>
                              <w:divBdr>
                                <w:top w:val="none" w:sz="0" w:space="0" w:color="auto"/>
                                <w:left w:val="none" w:sz="0" w:space="0" w:color="auto"/>
                                <w:bottom w:val="none" w:sz="0" w:space="0" w:color="auto"/>
                                <w:right w:val="none" w:sz="0" w:space="0" w:color="auto"/>
                              </w:divBdr>
                            </w:div>
                            <w:div w:id="1313490117">
                              <w:marLeft w:val="0"/>
                              <w:marRight w:val="0"/>
                              <w:marTop w:val="0"/>
                              <w:marBottom w:val="0"/>
                              <w:divBdr>
                                <w:top w:val="none" w:sz="0" w:space="0" w:color="auto"/>
                                <w:left w:val="none" w:sz="0" w:space="0" w:color="auto"/>
                                <w:bottom w:val="none" w:sz="0" w:space="0" w:color="auto"/>
                                <w:right w:val="none" w:sz="0" w:space="0" w:color="auto"/>
                              </w:divBdr>
                            </w:div>
                            <w:div w:id="1676687885">
                              <w:marLeft w:val="0"/>
                              <w:marRight w:val="0"/>
                              <w:marTop w:val="0"/>
                              <w:marBottom w:val="0"/>
                              <w:divBdr>
                                <w:top w:val="none" w:sz="0" w:space="0" w:color="auto"/>
                                <w:left w:val="none" w:sz="0" w:space="0" w:color="auto"/>
                                <w:bottom w:val="none" w:sz="0" w:space="0" w:color="auto"/>
                                <w:right w:val="none" w:sz="0" w:space="0" w:color="auto"/>
                              </w:divBdr>
                            </w:div>
                            <w:div w:id="332343393">
                              <w:marLeft w:val="0"/>
                              <w:marRight w:val="0"/>
                              <w:marTop w:val="0"/>
                              <w:marBottom w:val="0"/>
                              <w:divBdr>
                                <w:top w:val="none" w:sz="0" w:space="0" w:color="auto"/>
                                <w:left w:val="none" w:sz="0" w:space="0" w:color="auto"/>
                                <w:bottom w:val="none" w:sz="0" w:space="0" w:color="auto"/>
                                <w:right w:val="none" w:sz="0" w:space="0" w:color="auto"/>
                              </w:divBdr>
                            </w:div>
                            <w:div w:id="885289967">
                              <w:marLeft w:val="0"/>
                              <w:marRight w:val="0"/>
                              <w:marTop w:val="0"/>
                              <w:marBottom w:val="0"/>
                              <w:divBdr>
                                <w:top w:val="none" w:sz="0" w:space="0" w:color="auto"/>
                                <w:left w:val="none" w:sz="0" w:space="0" w:color="auto"/>
                                <w:bottom w:val="none" w:sz="0" w:space="0" w:color="auto"/>
                                <w:right w:val="none" w:sz="0" w:space="0" w:color="auto"/>
                              </w:divBdr>
                            </w:div>
                            <w:div w:id="1080445366">
                              <w:marLeft w:val="0"/>
                              <w:marRight w:val="0"/>
                              <w:marTop w:val="0"/>
                              <w:marBottom w:val="0"/>
                              <w:divBdr>
                                <w:top w:val="none" w:sz="0" w:space="0" w:color="auto"/>
                                <w:left w:val="none" w:sz="0" w:space="0" w:color="auto"/>
                                <w:bottom w:val="none" w:sz="0" w:space="0" w:color="auto"/>
                                <w:right w:val="none" w:sz="0" w:space="0" w:color="auto"/>
                              </w:divBdr>
                            </w:div>
                            <w:div w:id="1971519838">
                              <w:marLeft w:val="0"/>
                              <w:marRight w:val="0"/>
                              <w:marTop w:val="0"/>
                              <w:marBottom w:val="0"/>
                              <w:divBdr>
                                <w:top w:val="none" w:sz="0" w:space="0" w:color="auto"/>
                                <w:left w:val="none" w:sz="0" w:space="0" w:color="auto"/>
                                <w:bottom w:val="none" w:sz="0" w:space="0" w:color="auto"/>
                                <w:right w:val="none" w:sz="0" w:space="0" w:color="auto"/>
                              </w:divBdr>
                            </w:div>
                            <w:div w:id="576091709">
                              <w:marLeft w:val="0"/>
                              <w:marRight w:val="0"/>
                              <w:marTop w:val="0"/>
                              <w:marBottom w:val="0"/>
                              <w:divBdr>
                                <w:top w:val="none" w:sz="0" w:space="0" w:color="auto"/>
                                <w:left w:val="none" w:sz="0" w:space="0" w:color="auto"/>
                                <w:bottom w:val="none" w:sz="0" w:space="0" w:color="auto"/>
                                <w:right w:val="none" w:sz="0" w:space="0" w:color="auto"/>
                              </w:divBdr>
                            </w:div>
                            <w:div w:id="612174171">
                              <w:marLeft w:val="0"/>
                              <w:marRight w:val="0"/>
                              <w:marTop w:val="0"/>
                              <w:marBottom w:val="0"/>
                              <w:divBdr>
                                <w:top w:val="none" w:sz="0" w:space="0" w:color="auto"/>
                                <w:left w:val="none" w:sz="0" w:space="0" w:color="auto"/>
                                <w:bottom w:val="none" w:sz="0" w:space="0" w:color="auto"/>
                                <w:right w:val="none" w:sz="0" w:space="0" w:color="auto"/>
                              </w:divBdr>
                            </w:div>
                            <w:div w:id="1761487022">
                              <w:marLeft w:val="0"/>
                              <w:marRight w:val="0"/>
                              <w:marTop w:val="0"/>
                              <w:marBottom w:val="0"/>
                              <w:divBdr>
                                <w:top w:val="none" w:sz="0" w:space="0" w:color="auto"/>
                                <w:left w:val="none" w:sz="0" w:space="0" w:color="auto"/>
                                <w:bottom w:val="none" w:sz="0" w:space="0" w:color="auto"/>
                                <w:right w:val="none" w:sz="0" w:space="0" w:color="auto"/>
                              </w:divBdr>
                            </w:div>
                            <w:div w:id="486941269">
                              <w:marLeft w:val="0"/>
                              <w:marRight w:val="0"/>
                              <w:marTop w:val="0"/>
                              <w:marBottom w:val="0"/>
                              <w:divBdr>
                                <w:top w:val="none" w:sz="0" w:space="0" w:color="auto"/>
                                <w:left w:val="none" w:sz="0" w:space="0" w:color="auto"/>
                                <w:bottom w:val="none" w:sz="0" w:space="0" w:color="auto"/>
                                <w:right w:val="none" w:sz="0" w:space="0" w:color="auto"/>
                              </w:divBdr>
                            </w:div>
                            <w:div w:id="1644852183">
                              <w:marLeft w:val="0"/>
                              <w:marRight w:val="0"/>
                              <w:marTop w:val="0"/>
                              <w:marBottom w:val="0"/>
                              <w:divBdr>
                                <w:top w:val="none" w:sz="0" w:space="0" w:color="auto"/>
                                <w:left w:val="none" w:sz="0" w:space="0" w:color="auto"/>
                                <w:bottom w:val="none" w:sz="0" w:space="0" w:color="auto"/>
                                <w:right w:val="none" w:sz="0" w:space="0" w:color="auto"/>
                              </w:divBdr>
                            </w:div>
                            <w:div w:id="602761861">
                              <w:marLeft w:val="0"/>
                              <w:marRight w:val="0"/>
                              <w:marTop w:val="0"/>
                              <w:marBottom w:val="0"/>
                              <w:divBdr>
                                <w:top w:val="none" w:sz="0" w:space="0" w:color="auto"/>
                                <w:left w:val="none" w:sz="0" w:space="0" w:color="auto"/>
                                <w:bottom w:val="none" w:sz="0" w:space="0" w:color="auto"/>
                                <w:right w:val="none" w:sz="0" w:space="0" w:color="auto"/>
                              </w:divBdr>
                            </w:div>
                            <w:div w:id="98723996">
                              <w:marLeft w:val="0"/>
                              <w:marRight w:val="0"/>
                              <w:marTop w:val="0"/>
                              <w:marBottom w:val="0"/>
                              <w:divBdr>
                                <w:top w:val="none" w:sz="0" w:space="0" w:color="auto"/>
                                <w:left w:val="none" w:sz="0" w:space="0" w:color="auto"/>
                                <w:bottom w:val="none" w:sz="0" w:space="0" w:color="auto"/>
                                <w:right w:val="none" w:sz="0" w:space="0" w:color="auto"/>
                              </w:divBdr>
                            </w:div>
                            <w:div w:id="1242301101">
                              <w:marLeft w:val="0"/>
                              <w:marRight w:val="0"/>
                              <w:marTop w:val="0"/>
                              <w:marBottom w:val="0"/>
                              <w:divBdr>
                                <w:top w:val="none" w:sz="0" w:space="0" w:color="auto"/>
                                <w:left w:val="none" w:sz="0" w:space="0" w:color="auto"/>
                                <w:bottom w:val="none" w:sz="0" w:space="0" w:color="auto"/>
                                <w:right w:val="none" w:sz="0" w:space="0" w:color="auto"/>
                              </w:divBdr>
                            </w:div>
                            <w:div w:id="1002506766">
                              <w:marLeft w:val="0"/>
                              <w:marRight w:val="0"/>
                              <w:marTop w:val="0"/>
                              <w:marBottom w:val="0"/>
                              <w:divBdr>
                                <w:top w:val="none" w:sz="0" w:space="0" w:color="auto"/>
                                <w:left w:val="none" w:sz="0" w:space="0" w:color="auto"/>
                                <w:bottom w:val="none" w:sz="0" w:space="0" w:color="auto"/>
                                <w:right w:val="none" w:sz="0" w:space="0" w:color="auto"/>
                              </w:divBdr>
                            </w:div>
                            <w:div w:id="1175807486">
                              <w:marLeft w:val="0"/>
                              <w:marRight w:val="0"/>
                              <w:marTop w:val="0"/>
                              <w:marBottom w:val="0"/>
                              <w:divBdr>
                                <w:top w:val="none" w:sz="0" w:space="0" w:color="auto"/>
                                <w:left w:val="none" w:sz="0" w:space="0" w:color="auto"/>
                                <w:bottom w:val="none" w:sz="0" w:space="0" w:color="auto"/>
                                <w:right w:val="none" w:sz="0" w:space="0" w:color="auto"/>
                              </w:divBdr>
                            </w:div>
                            <w:div w:id="1526405233">
                              <w:marLeft w:val="0"/>
                              <w:marRight w:val="0"/>
                              <w:marTop w:val="0"/>
                              <w:marBottom w:val="0"/>
                              <w:divBdr>
                                <w:top w:val="none" w:sz="0" w:space="0" w:color="auto"/>
                                <w:left w:val="none" w:sz="0" w:space="0" w:color="auto"/>
                                <w:bottom w:val="none" w:sz="0" w:space="0" w:color="auto"/>
                                <w:right w:val="none" w:sz="0" w:space="0" w:color="auto"/>
                              </w:divBdr>
                            </w:div>
                            <w:div w:id="1262643867">
                              <w:marLeft w:val="0"/>
                              <w:marRight w:val="0"/>
                              <w:marTop w:val="0"/>
                              <w:marBottom w:val="0"/>
                              <w:divBdr>
                                <w:top w:val="none" w:sz="0" w:space="0" w:color="auto"/>
                                <w:left w:val="none" w:sz="0" w:space="0" w:color="auto"/>
                                <w:bottom w:val="none" w:sz="0" w:space="0" w:color="auto"/>
                                <w:right w:val="none" w:sz="0" w:space="0" w:color="auto"/>
                              </w:divBdr>
                            </w:div>
                            <w:div w:id="1719207045">
                              <w:marLeft w:val="0"/>
                              <w:marRight w:val="0"/>
                              <w:marTop w:val="0"/>
                              <w:marBottom w:val="0"/>
                              <w:divBdr>
                                <w:top w:val="none" w:sz="0" w:space="0" w:color="auto"/>
                                <w:left w:val="none" w:sz="0" w:space="0" w:color="auto"/>
                                <w:bottom w:val="none" w:sz="0" w:space="0" w:color="auto"/>
                                <w:right w:val="none" w:sz="0" w:space="0" w:color="auto"/>
                              </w:divBdr>
                            </w:div>
                            <w:div w:id="20385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494233">
      <w:bodyDiv w:val="1"/>
      <w:marLeft w:val="0"/>
      <w:marRight w:val="0"/>
      <w:marTop w:val="0"/>
      <w:marBottom w:val="0"/>
      <w:divBdr>
        <w:top w:val="none" w:sz="0" w:space="0" w:color="auto"/>
        <w:left w:val="none" w:sz="0" w:space="0" w:color="auto"/>
        <w:bottom w:val="none" w:sz="0" w:space="0" w:color="auto"/>
        <w:right w:val="none" w:sz="0" w:space="0" w:color="auto"/>
      </w:divBdr>
      <w:divsChild>
        <w:div w:id="1252084530">
          <w:marLeft w:val="0"/>
          <w:marRight w:val="0"/>
          <w:marTop w:val="0"/>
          <w:marBottom w:val="0"/>
          <w:divBdr>
            <w:top w:val="none" w:sz="0" w:space="0" w:color="auto"/>
            <w:left w:val="none" w:sz="0" w:space="0" w:color="auto"/>
            <w:bottom w:val="none" w:sz="0" w:space="0" w:color="auto"/>
            <w:right w:val="none" w:sz="0" w:space="0" w:color="auto"/>
          </w:divBdr>
        </w:div>
      </w:divsChild>
    </w:div>
    <w:div w:id="1649936201">
      <w:bodyDiv w:val="1"/>
      <w:marLeft w:val="0"/>
      <w:marRight w:val="0"/>
      <w:marTop w:val="0"/>
      <w:marBottom w:val="0"/>
      <w:divBdr>
        <w:top w:val="none" w:sz="0" w:space="0" w:color="auto"/>
        <w:left w:val="none" w:sz="0" w:space="0" w:color="auto"/>
        <w:bottom w:val="none" w:sz="0" w:space="0" w:color="auto"/>
        <w:right w:val="none" w:sz="0" w:space="0" w:color="auto"/>
      </w:divBdr>
      <w:divsChild>
        <w:div w:id="421872644">
          <w:marLeft w:val="0"/>
          <w:marRight w:val="0"/>
          <w:marTop w:val="0"/>
          <w:marBottom w:val="0"/>
          <w:divBdr>
            <w:top w:val="none" w:sz="0" w:space="0" w:color="auto"/>
            <w:left w:val="none" w:sz="0" w:space="0" w:color="auto"/>
            <w:bottom w:val="none" w:sz="0" w:space="0" w:color="auto"/>
            <w:right w:val="none" w:sz="0" w:space="0" w:color="auto"/>
          </w:divBdr>
        </w:div>
      </w:divsChild>
    </w:div>
    <w:div w:id="1770198363">
      <w:bodyDiv w:val="1"/>
      <w:marLeft w:val="0"/>
      <w:marRight w:val="0"/>
      <w:marTop w:val="0"/>
      <w:marBottom w:val="0"/>
      <w:divBdr>
        <w:top w:val="none" w:sz="0" w:space="0" w:color="auto"/>
        <w:left w:val="none" w:sz="0" w:space="0" w:color="auto"/>
        <w:bottom w:val="none" w:sz="0" w:space="0" w:color="auto"/>
        <w:right w:val="none" w:sz="0" w:space="0" w:color="auto"/>
      </w:divBdr>
      <w:divsChild>
        <w:div w:id="1957253205">
          <w:marLeft w:val="0"/>
          <w:marRight w:val="0"/>
          <w:marTop w:val="0"/>
          <w:marBottom w:val="0"/>
          <w:divBdr>
            <w:top w:val="none" w:sz="0" w:space="0" w:color="auto"/>
            <w:left w:val="none" w:sz="0" w:space="0" w:color="auto"/>
            <w:bottom w:val="none" w:sz="0" w:space="0" w:color="auto"/>
            <w:right w:val="none" w:sz="0" w:space="0" w:color="auto"/>
          </w:divBdr>
        </w:div>
      </w:divsChild>
    </w:div>
    <w:div w:id="2114355001">
      <w:bodyDiv w:val="1"/>
      <w:marLeft w:val="0"/>
      <w:marRight w:val="0"/>
      <w:marTop w:val="0"/>
      <w:marBottom w:val="0"/>
      <w:divBdr>
        <w:top w:val="none" w:sz="0" w:space="0" w:color="auto"/>
        <w:left w:val="none" w:sz="0" w:space="0" w:color="auto"/>
        <w:bottom w:val="none" w:sz="0" w:space="0" w:color="auto"/>
        <w:right w:val="none" w:sz="0" w:space="0" w:color="auto"/>
      </w:divBdr>
      <w:divsChild>
        <w:div w:id="116755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H CORRAL</dc:creator>
  <cp:lastModifiedBy>USIS SA</cp:lastModifiedBy>
  <cp:revision>8</cp:revision>
  <dcterms:created xsi:type="dcterms:W3CDTF">2023-05-10T20:36:00Z</dcterms:created>
  <dcterms:modified xsi:type="dcterms:W3CDTF">2024-01-19T15:35:00Z</dcterms:modified>
</cp:coreProperties>
</file>